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A9CC" w14:textId="77777777" w:rsidR="004B03D2" w:rsidRPr="002D7269" w:rsidRDefault="004B03D2" w:rsidP="00805D85">
      <w:pPr>
        <w:pStyle w:val="Plattetekst"/>
        <w:rPr>
          <w:rStyle w:val="Green"/>
        </w:rPr>
      </w:pPr>
    </w:p>
    <w:p w14:paraId="03498CC9" w14:textId="77777777" w:rsidR="004B03D2" w:rsidRPr="002D7269" w:rsidRDefault="004B03D2"/>
    <w:tbl>
      <w:tblPr>
        <w:tblStyle w:val="Tabelraster"/>
        <w:tblpPr w:bottomFromText="454" w:vertAnchor="text" w:tblpY="1"/>
        <w:tblOverlap w:val="never"/>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8845"/>
      </w:tblGrid>
      <w:tr w:rsidR="007D5CC6" w:rsidRPr="002D7269" w14:paraId="53586941" w14:textId="77777777" w:rsidTr="00BA5C5D">
        <w:trPr>
          <w:cantSplit/>
          <w:trHeight w:hRule="exact" w:val="1554"/>
        </w:trPr>
        <w:tc>
          <w:tcPr>
            <w:tcW w:w="8845" w:type="dxa"/>
          </w:tcPr>
          <w:p w14:paraId="09027FD1" w14:textId="77777777" w:rsidR="003F3383" w:rsidRPr="002D7269" w:rsidRDefault="003F3383" w:rsidP="003F3383">
            <w:pPr>
              <w:pStyle w:val="Plattetekst"/>
            </w:pPr>
            <w:r w:rsidRPr="002D7269">
              <w:t>De Minister van Landbouw, Visserij, Voedselzekerheid en Natuur</w:t>
            </w:r>
          </w:p>
          <w:p w14:paraId="3FEE1B37" w14:textId="77777777" w:rsidR="003F3383" w:rsidRPr="002D7269" w:rsidRDefault="003F3383" w:rsidP="003F3383">
            <w:pPr>
              <w:pStyle w:val="Plattetekst"/>
            </w:pPr>
            <w:r w:rsidRPr="002D7269">
              <w:t>Mevrouw F.M. Wiersma</w:t>
            </w:r>
          </w:p>
          <w:p w14:paraId="2C96DFDA" w14:textId="77777777" w:rsidR="003F3383" w:rsidRPr="002D7269" w:rsidRDefault="003F3383" w:rsidP="003F3383">
            <w:pPr>
              <w:pStyle w:val="Plattetekst"/>
            </w:pPr>
            <w:r w:rsidRPr="002D7269">
              <w:t>Postbus 20401</w:t>
            </w:r>
          </w:p>
          <w:p w14:paraId="331683FD" w14:textId="77777777" w:rsidR="003F3383" w:rsidRPr="002D7269" w:rsidRDefault="003F3383" w:rsidP="003F3383">
            <w:pPr>
              <w:pStyle w:val="Plattetekst"/>
            </w:pPr>
            <w:r w:rsidRPr="002D7269">
              <w:t>2500 EK  DEN HAAG</w:t>
            </w:r>
          </w:p>
          <w:p w14:paraId="700A39CD" w14:textId="333EBDC2" w:rsidR="005425B8" w:rsidRPr="002D7269" w:rsidRDefault="005425B8" w:rsidP="004D7789">
            <w:pPr>
              <w:pStyle w:val="Plattetekst"/>
            </w:pPr>
          </w:p>
        </w:tc>
      </w:tr>
      <w:tr w:rsidR="00111387" w:rsidRPr="002D7269" w14:paraId="5A13FB28" w14:textId="77777777" w:rsidTr="00F91187">
        <w:trPr>
          <w:cantSplit/>
          <w:trHeight w:hRule="exact" w:val="312"/>
        </w:trPr>
        <w:tc>
          <w:tcPr>
            <w:tcW w:w="8845" w:type="dxa"/>
          </w:tcPr>
          <w:p w14:paraId="01CABF27" w14:textId="539BE636" w:rsidR="00111387" w:rsidRPr="002D7269" w:rsidRDefault="00111387" w:rsidP="00C708D0">
            <w:pPr>
              <w:pStyle w:val="References"/>
            </w:pPr>
            <w:r w:rsidRPr="002D7269">
              <w:t xml:space="preserve">Onderwerp: </w:t>
            </w:r>
            <w:bookmarkStart w:id="0" w:name="_Hlk200709536"/>
            <w:r w:rsidR="002E4300" w:rsidRPr="002D7269">
              <w:t>Nutriënten</w:t>
            </w:r>
            <w:r w:rsidR="00805D85" w:rsidRPr="002D7269">
              <w:t xml:space="preserve"> terug</w:t>
            </w:r>
            <w:r w:rsidR="002E4300" w:rsidRPr="002D7269">
              <w:t>winning voor g</w:t>
            </w:r>
            <w:r w:rsidR="00365AA2" w:rsidRPr="002D7269">
              <w:t>rondstoffenonafhankelijkheid en voedselsoevereiniteit</w:t>
            </w:r>
            <w:r w:rsidR="00695863" w:rsidRPr="002D7269">
              <w:t xml:space="preserve"> </w:t>
            </w:r>
            <w:bookmarkEnd w:id="0"/>
            <w:r w:rsidR="00695863" w:rsidRPr="002D7269">
              <w:t>meststoffen</w:t>
            </w:r>
          </w:p>
        </w:tc>
      </w:tr>
      <w:tr w:rsidR="00111387" w:rsidRPr="002D7269" w14:paraId="7CB4E82A" w14:textId="77777777" w:rsidTr="00427EE0">
        <w:trPr>
          <w:cantSplit/>
          <w:trHeight w:hRule="exact" w:val="312"/>
        </w:trPr>
        <w:tc>
          <w:tcPr>
            <w:tcW w:w="8845" w:type="dxa"/>
          </w:tcPr>
          <w:p w14:paraId="4B970C05" w14:textId="380477FA" w:rsidR="00111387" w:rsidRPr="002D7269" w:rsidRDefault="00111387" w:rsidP="00C708D0">
            <w:pPr>
              <w:pStyle w:val="References"/>
            </w:pPr>
            <w:r w:rsidRPr="002D7269">
              <w:t xml:space="preserve">Onze referentie: </w:t>
            </w:r>
            <w:r w:rsidR="00E07980" w:rsidRPr="002D7269">
              <w:t>2025-013</w:t>
            </w:r>
          </w:p>
        </w:tc>
      </w:tr>
    </w:tbl>
    <w:p w14:paraId="2D76A320" w14:textId="38E9F1DC" w:rsidR="007D5CC6" w:rsidRPr="002D7269" w:rsidRDefault="003F3383" w:rsidP="007D5CC6">
      <w:pPr>
        <w:pStyle w:val="Plattetekst"/>
      </w:pPr>
      <w:r>
        <w:t>Geachte mevrouw Wiersma</w:t>
      </w:r>
      <w:r w:rsidR="00E17448" w:rsidRPr="002D7269">
        <w:t>,</w:t>
      </w:r>
    </w:p>
    <w:p w14:paraId="554AB827" w14:textId="77777777" w:rsidR="00E17448" w:rsidRPr="002D7269" w:rsidRDefault="00E17448" w:rsidP="007D5CC6">
      <w:pPr>
        <w:pStyle w:val="Plattetekst"/>
      </w:pPr>
    </w:p>
    <w:p w14:paraId="474FDF43" w14:textId="6E6ED378" w:rsidR="00C30783" w:rsidRPr="002D7269" w:rsidRDefault="00C30783" w:rsidP="00C30783">
      <w:pPr>
        <w:pStyle w:val="Plattetekst"/>
        <w:rPr>
          <w:b/>
          <w:bCs/>
          <w:sz w:val="24"/>
        </w:rPr>
      </w:pPr>
      <w:r w:rsidRPr="002D7269">
        <w:rPr>
          <w:b/>
          <w:bCs/>
          <w:sz w:val="24"/>
        </w:rPr>
        <w:t xml:space="preserve">Terugwinnen van </w:t>
      </w:r>
      <w:r w:rsidR="002D7269">
        <w:rPr>
          <w:b/>
          <w:bCs/>
          <w:sz w:val="24"/>
        </w:rPr>
        <w:t>n</w:t>
      </w:r>
      <w:r w:rsidRPr="002D7269">
        <w:rPr>
          <w:b/>
          <w:bCs/>
          <w:sz w:val="24"/>
        </w:rPr>
        <w:t xml:space="preserve">utriënten: </w:t>
      </w:r>
      <w:r w:rsidR="005D2544" w:rsidRPr="002D7269">
        <w:rPr>
          <w:b/>
          <w:bCs/>
          <w:sz w:val="24"/>
        </w:rPr>
        <w:t>w</w:t>
      </w:r>
      <w:r w:rsidRPr="002D7269">
        <w:rPr>
          <w:b/>
          <w:bCs/>
          <w:sz w:val="24"/>
        </w:rPr>
        <w:t xml:space="preserve">aarom is het </w:t>
      </w:r>
      <w:r w:rsidR="005D2544" w:rsidRPr="002D7269">
        <w:rPr>
          <w:b/>
          <w:bCs/>
          <w:sz w:val="24"/>
        </w:rPr>
        <w:t>b</w:t>
      </w:r>
      <w:r w:rsidRPr="002D7269">
        <w:rPr>
          <w:b/>
          <w:bCs/>
          <w:sz w:val="24"/>
        </w:rPr>
        <w:t>elangrijk?</w:t>
      </w:r>
    </w:p>
    <w:p w14:paraId="66FFD31C" w14:textId="77777777" w:rsidR="00C30783" w:rsidRPr="002D7269" w:rsidRDefault="00C30783" w:rsidP="00C30783">
      <w:pPr>
        <w:pStyle w:val="Plattetekst"/>
      </w:pPr>
    </w:p>
    <w:p w14:paraId="6F328092" w14:textId="24EA2EA1" w:rsidR="00B43D21" w:rsidRPr="002D7269" w:rsidRDefault="00BA5C5D" w:rsidP="00C30783">
      <w:pPr>
        <w:pStyle w:val="Plattetekst"/>
      </w:pPr>
      <w:r w:rsidRPr="002D7269">
        <w:t xml:space="preserve">Tijdens </w:t>
      </w:r>
      <w:r w:rsidR="00C30783" w:rsidRPr="002D7269">
        <w:t>de NAVO-Top in Den Haag staa</w:t>
      </w:r>
      <w:r w:rsidRPr="002D7269">
        <w:t xml:space="preserve">n </w:t>
      </w:r>
      <w:r w:rsidR="00C30783" w:rsidRPr="002D7269">
        <w:t xml:space="preserve">samenwerken voor soevereiniteit en onafhankelijkheid </w:t>
      </w:r>
      <w:r w:rsidR="00132EED" w:rsidRPr="002D7269">
        <w:t xml:space="preserve">bovenaan </w:t>
      </w:r>
      <w:r w:rsidR="002D7269">
        <w:t xml:space="preserve">op </w:t>
      </w:r>
      <w:r w:rsidR="00132EED" w:rsidRPr="002D7269">
        <w:t>de agenda</w:t>
      </w:r>
      <w:r w:rsidR="00C30783" w:rsidRPr="002D7269">
        <w:t xml:space="preserve">. Wij willen u </w:t>
      </w:r>
      <w:r w:rsidR="00604E7D" w:rsidRPr="002D7269">
        <w:t xml:space="preserve">er graag op </w:t>
      </w:r>
      <w:r w:rsidR="00C30783" w:rsidRPr="002D7269">
        <w:t>attenderen dat dit ook nodig is voor ons eigen voedselsysteem. Niet alleen wij, maar ook de planten die we eten, hebben nutriënten nodig. Deze voedingsstoffen — in de vorm van minerale meststoffen (kunstmest) of organische meststoffen (zoals compost, organische reststromen uit de voedingssector en dierlijke mest) — vormen de basis van ons voedselsysteem en verdienen daarom onze aandacht. Nederland</w:t>
      </w:r>
      <w:r w:rsidR="00AE6EA1" w:rsidRPr="002D7269">
        <w:t xml:space="preserve"> is hierbij</w:t>
      </w:r>
      <w:r w:rsidR="00C30783" w:rsidRPr="002D7269">
        <w:t xml:space="preserve"> nog altijd sterk afhankelijk van directe en indirecte</w:t>
      </w:r>
      <w:r w:rsidR="009858C3" w:rsidRPr="002D7269">
        <w:rPr>
          <w:rStyle w:val="Voetnootmarkering"/>
        </w:rPr>
        <w:footnoteReference w:id="1"/>
      </w:r>
      <w:r w:rsidR="009858C3" w:rsidRPr="002D7269">
        <w:t xml:space="preserve"> </w:t>
      </w:r>
      <w:r w:rsidR="004E27E7" w:rsidRPr="002D7269">
        <w:t xml:space="preserve">import van </w:t>
      </w:r>
      <w:r w:rsidR="00C30783" w:rsidRPr="002D7269">
        <w:t>fossiele</w:t>
      </w:r>
      <w:r w:rsidR="009858C3" w:rsidRPr="002D7269">
        <w:t xml:space="preserve"> </w:t>
      </w:r>
      <w:r w:rsidR="00C30783" w:rsidRPr="002D7269">
        <w:t>meststoffen</w:t>
      </w:r>
      <w:r w:rsidR="00E2569C">
        <w:t>,</w:t>
      </w:r>
      <w:r w:rsidR="00C30783" w:rsidRPr="002D7269">
        <w:t xml:space="preserve"> en</w:t>
      </w:r>
      <w:r w:rsidR="00AE6EA1" w:rsidRPr="002D7269">
        <w:t xml:space="preserve"> de benodigde</w:t>
      </w:r>
      <w:r w:rsidR="00C30783" w:rsidRPr="002D7269">
        <w:t xml:space="preserve"> grondstoffen</w:t>
      </w:r>
      <w:r w:rsidR="004E27E7" w:rsidRPr="002D7269">
        <w:t xml:space="preserve"> daarvoor</w:t>
      </w:r>
      <w:r w:rsidR="00E2569C">
        <w:t>,</w:t>
      </w:r>
      <w:r w:rsidR="00C30783" w:rsidRPr="002D7269">
        <w:t xml:space="preserve"> uit landen als Rusland en Marokko. Deze afhankelijkheid maakt</w:t>
      </w:r>
      <w:r w:rsidR="00132EED" w:rsidRPr="002D7269">
        <w:t xml:space="preserve"> Nederland</w:t>
      </w:r>
      <w:r w:rsidR="00C30783" w:rsidRPr="002D7269">
        <w:t xml:space="preserve"> kwetsbaar</w:t>
      </w:r>
      <w:r w:rsidR="00132EED" w:rsidRPr="002D7269">
        <w:t xml:space="preserve">, terwijl wij </w:t>
      </w:r>
      <w:r w:rsidR="004E0735" w:rsidRPr="002D7269">
        <w:t xml:space="preserve">juist </w:t>
      </w:r>
      <w:r w:rsidR="00132EED" w:rsidRPr="002D7269">
        <w:t>een goede positie hebben om in te spelen op schaarste en overschotten.</w:t>
      </w:r>
      <w:r w:rsidR="004E0735" w:rsidRPr="002D7269">
        <w:t xml:space="preserve"> </w:t>
      </w:r>
      <w:r w:rsidR="00C30783" w:rsidRPr="002D7269">
        <w:t xml:space="preserve">Met deze brief roepen wij op tot </w:t>
      </w:r>
      <w:r w:rsidR="004E0735" w:rsidRPr="002D7269">
        <w:t xml:space="preserve">nauwere </w:t>
      </w:r>
      <w:r w:rsidR="00C30783" w:rsidRPr="002D7269">
        <w:t>samenwerking voor</w:t>
      </w:r>
      <w:r w:rsidR="007A304A" w:rsidRPr="002D7269">
        <w:t xml:space="preserve"> voedselso</w:t>
      </w:r>
      <w:r w:rsidR="00AE6EA1" w:rsidRPr="002D7269">
        <w:t>e</w:t>
      </w:r>
      <w:r w:rsidR="007A304A" w:rsidRPr="002D7269">
        <w:t>vereiniteit,</w:t>
      </w:r>
      <w:r w:rsidR="00C30783" w:rsidRPr="002D7269">
        <w:t xml:space="preserve"> grondstoffenonafhankelijkheid in meststoffen en geven wij aanbevelingen voor beleid. </w:t>
      </w:r>
    </w:p>
    <w:p w14:paraId="0D4A7B22" w14:textId="77777777" w:rsidR="00A25DCD" w:rsidRPr="002D7269" w:rsidRDefault="00A25DCD" w:rsidP="00C30783">
      <w:pPr>
        <w:pStyle w:val="Plattetekst"/>
      </w:pPr>
    </w:p>
    <w:p w14:paraId="63C27F89" w14:textId="19F1C604" w:rsidR="005D2544" w:rsidRPr="002D7269" w:rsidRDefault="00C30783" w:rsidP="00FA58A8">
      <w:pPr>
        <w:pStyle w:val="Plattetekst"/>
        <w:spacing w:line="240" w:lineRule="auto"/>
        <w:rPr>
          <w:b/>
          <w:bCs/>
        </w:rPr>
      </w:pPr>
      <w:r w:rsidRPr="002D7269">
        <w:rPr>
          <w:b/>
          <w:bCs/>
        </w:rPr>
        <w:t>Schaarste</w:t>
      </w:r>
    </w:p>
    <w:p w14:paraId="00E94065" w14:textId="5FA5A7AA" w:rsidR="007F1664" w:rsidRPr="002D7269" w:rsidRDefault="00C30783" w:rsidP="00867942">
      <w:pPr>
        <w:pStyle w:val="Plattetekst"/>
        <w:spacing w:line="276" w:lineRule="auto"/>
      </w:pPr>
      <w:r w:rsidRPr="002D7269">
        <w:t>Belangrijke nutriënten</w:t>
      </w:r>
      <w:r w:rsidR="003D3526" w:rsidRPr="002D7269">
        <w:t xml:space="preserve"> zoals stikstof, fosfaat en kalium</w:t>
      </w:r>
      <w:r w:rsidRPr="002D7269">
        <w:t xml:space="preserve"> hebben een fossiele</w:t>
      </w:r>
      <w:r w:rsidR="005E615E" w:rsidRPr="002D7269">
        <w:t xml:space="preserve"> oorsprong,</w:t>
      </w:r>
      <w:r w:rsidRPr="002D7269">
        <w:t xml:space="preserve"> en</w:t>
      </w:r>
      <w:r w:rsidR="005E615E" w:rsidRPr="002D7269">
        <w:t xml:space="preserve"> zijn</w:t>
      </w:r>
      <w:r w:rsidRPr="002D7269">
        <w:t xml:space="preserve"> dus eindig. Dit is goed zichtbaar voor fosfaat </w:t>
      </w:r>
      <w:r w:rsidR="00986DF6" w:rsidRPr="002D7269">
        <w:t>d</w:t>
      </w:r>
      <w:r w:rsidRPr="002D7269">
        <w:t>at wordt gewonnen uit mijnen</w:t>
      </w:r>
      <w:r w:rsidR="00986DF6" w:rsidRPr="002D7269">
        <w:t>. D</w:t>
      </w:r>
      <w:r w:rsidRPr="002D7269">
        <w:t xml:space="preserve">eze </w:t>
      </w:r>
      <w:r w:rsidR="004E0735" w:rsidRPr="002D7269">
        <w:t xml:space="preserve">mijnen </w:t>
      </w:r>
      <w:r w:rsidRPr="002D7269">
        <w:t>liggen grotendeels buiten Europa met</w:t>
      </w:r>
      <w:r w:rsidR="004E0735" w:rsidRPr="002D7269">
        <w:t xml:space="preserve"> name in</w:t>
      </w:r>
      <w:r w:rsidRPr="002D7269">
        <w:t xml:space="preserve"> Rusland en Marokko. Dit creëert een afhankelijkheid in </w:t>
      </w:r>
      <w:r w:rsidR="00817FDC" w:rsidRPr="002D7269">
        <w:t xml:space="preserve">de basis van </w:t>
      </w:r>
      <w:r w:rsidRPr="002D7269">
        <w:t>ons voedselsysteem. Een ander voorbeeld is minerale stikstof</w:t>
      </w:r>
      <w:r w:rsidR="008D3FAD">
        <w:t>. D</w:t>
      </w:r>
      <w:r w:rsidRPr="002D7269">
        <w:t xml:space="preserve">e productie daarvan vereist veel fossiele energie. </w:t>
      </w:r>
      <w:r w:rsidR="004472EA" w:rsidRPr="002D7269">
        <w:t>Oneerlijke concurrentie met g</w:t>
      </w:r>
      <w:r w:rsidRPr="002D7269">
        <w:t>oedkope stikstofmeststoffen uit Russisch gas vorm</w:t>
      </w:r>
      <w:r w:rsidR="008D3FAD">
        <w:t>t</w:t>
      </w:r>
      <w:r w:rsidRPr="002D7269">
        <w:t xml:space="preserve"> ook een bedreiging </w:t>
      </w:r>
      <w:r w:rsidR="009F5DC7" w:rsidRPr="002D7269">
        <w:t>voor</w:t>
      </w:r>
      <w:r w:rsidR="00817FDC" w:rsidRPr="002D7269">
        <w:t xml:space="preserve"> </w:t>
      </w:r>
      <w:r w:rsidRPr="002D7269">
        <w:t>Nederlandse stikstofmeststoffen</w:t>
      </w:r>
      <w:r w:rsidR="00C16580" w:rsidRPr="00793CF6">
        <w:rPr>
          <w:vertAlign w:val="superscript"/>
        </w:rPr>
        <w:footnoteReference w:id="2"/>
      </w:r>
      <w:r w:rsidRPr="002D7269">
        <w:t>. Naast stikstof komt ook veel fosfaat uit Rusland</w:t>
      </w:r>
      <w:r w:rsidR="00C16580" w:rsidRPr="00793CF6">
        <w:rPr>
          <w:vertAlign w:val="superscript"/>
        </w:rPr>
        <w:footnoteReference w:id="3"/>
      </w:r>
      <w:r w:rsidRPr="002D7269">
        <w:t>. Daarmee maken we ons niet alleen afhankelijk, maar dragen we ongewild ook bij aan de Russische oorlogskas</w:t>
      </w:r>
      <w:r w:rsidR="00B63556" w:rsidRPr="00793CF6">
        <w:rPr>
          <w:vertAlign w:val="superscript"/>
        </w:rPr>
        <w:footnoteReference w:id="4"/>
      </w:r>
      <w:r w:rsidRPr="002D7269">
        <w:t>. Er is dus niet alleen sprake van schaarste, maar ook van geopolitieke afhankelijkheid.</w:t>
      </w:r>
    </w:p>
    <w:p w14:paraId="1EF9B9D7" w14:textId="77777777" w:rsidR="000046FF" w:rsidRDefault="000046FF" w:rsidP="005D2544">
      <w:pPr>
        <w:pStyle w:val="Plattetekst"/>
        <w:rPr>
          <w:b/>
          <w:bCs/>
        </w:rPr>
      </w:pPr>
    </w:p>
    <w:p w14:paraId="274A143E" w14:textId="77777777" w:rsidR="00AF5955" w:rsidRPr="002D7269" w:rsidRDefault="00AF5955" w:rsidP="005D2544">
      <w:pPr>
        <w:pStyle w:val="Plattetekst"/>
        <w:rPr>
          <w:b/>
          <w:bCs/>
        </w:rPr>
      </w:pPr>
    </w:p>
    <w:p w14:paraId="2C66A344" w14:textId="77777777" w:rsidR="00AF5955" w:rsidRDefault="00AF5955" w:rsidP="005D2544">
      <w:pPr>
        <w:pStyle w:val="Plattetekst"/>
        <w:rPr>
          <w:b/>
          <w:bCs/>
        </w:rPr>
      </w:pPr>
    </w:p>
    <w:p w14:paraId="47D87C0B" w14:textId="5FF746DE" w:rsidR="00216C27" w:rsidRPr="00455736" w:rsidRDefault="00B63556" w:rsidP="005D2544">
      <w:pPr>
        <w:pStyle w:val="Plattetekst"/>
        <w:rPr>
          <w:b/>
          <w:bCs/>
          <w:sz w:val="18"/>
          <w:szCs w:val="18"/>
        </w:rPr>
      </w:pPr>
      <w:r w:rsidRPr="002D7269">
        <w:rPr>
          <w:b/>
          <w:bCs/>
        </w:rPr>
        <w:t>Overschot</w:t>
      </w:r>
    </w:p>
    <w:p w14:paraId="3CE34A57" w14:textId="0BD1B665" w:rsidR="00B63556" w:rsidRPr="002D7269" w:rsidRDefault="00B63556" w:rsidP="00867942">
      <w:pPr>
        <w:pStyle w:val="Plattetekst"/>
        <w:spacing w:line="276" w:lineRule="auto"/>
      </w:pPr>
      <w:r w:rsidRPr="002D7269">
        <w:t>Nutriënten die niet worden opgenomen door planten, dieren of mensen, kunnen het milieu schaden via uitspoeling</w:t>
      </w:r>
      <w:r w:rsidR="003760FF" w:rsidRPr="002D7269">
        <w:rPr>
          <w:vertAlign w:val="superscript"/>
        </w:rPr>
        <w:footnoteReference w:id="5"/>
      </w:r>
      <w:r w:rsidRPr="002D7269">
        <w:rPr>
          <w:vertAlign w:val="superscript"/>
        </w:rPr>
        <w:t xml:space="preserve"> </w:t>
      </w:r>
      <w:r w:rsidRPr="002D7269">
        <w:t xml:space="preserve">of emissies, of </w:t>
      </w:r>
      <w:r w:rsidR="005E615E" w:rsidRPr="002D7269">
        <w:t xml:space="preserve">ze </w:t>
      </w:r>
      <w:r w:rsidRPr="002D7269">
        <w:t xml:space="preserve">verdwijnen na consumptie via de afvalwaterzuivering. Alleen al in 2022 spoelde in Nederland naar schatting 17.900 ton fosfor weg via het afvalwater van huishoudens en de </w:t>
      </w:r>
      <w:proofErr w:type="spellStart"/>
      <w:r w:rsidRPr="002D7269">
        <w:t>agrifoodsector</w:t>
      </w:r>
      <w:proofErr w:type="spellEnd"/>
      <w:r w:rsidR="002D761C" w:rsidRPr="002D7269">
        <w:rPr>
          <w:vertAlign w:val="superscript"/>
        </w:rPr>
        <w:footnoteReference w:id="6"/>
      </w:r>
      <w:r w:rsidR="002D761C" w:rsidRPr="002D7269">
        <w:rPr>
          <w:vertAlign w:val="superscript"/>
        </w:rPr>
        <w:footnoteReference w:id="7"/>
      </w:r>
      <w:r w:rsidR="00B574B7" w:rsidRPr="002D7269">
        <w:t>.</w:t>
      </w:r>
      <w:r w:rsidRPr="002D7269">
        <w:t xml:space="preserve"> Als u bedenkt dat in 2023 er 9</w:t>
      </w:r>
      <w:r w:rsidR="001F5AC4" w:rsidRPr="002D7269">
        <w:t>.</w:t>
      </w:r>
      <w:r w:rsidRPr="002D7269">
        <w:t>000 ton aan minerale fosfaatmeststoffen in Nederland werd gebruikt</w:t>
      </w:r>
      <w:r w:rsidR="00AB2586" w:rsidRPr="002D7269">
        <w:rPr>
          <w:vertAlign w:val="superscript"/>
        </w:rPr>
        <w:footnoteReference w:id="8"/>
      </w:r>
      <w:r w:rsidR="00B574B7" w:rsidRPr="002D7269">
        <w:t>,</w:t>
      </w:r>
      <w:r w:rsidRPr="002D7269">
        <w:t xml:space="preserve"> wordt duidelijk dat </w:t>
      </w:r>
      <w:r w:rsidR="00791AFD" w:rsidRPr="002D7269">
        <w:t>er potentie is om</w:t>
      </w:r>
      <w:r w:rsidR="0032342D" w:rsidRPr="002D7269">
        <w:t xml:space="preserve"> onze behoefte tot</w:t>
      </w:r>
      <w:r w:rsidR="00791AFD" w:rsidRPr="002D7269">
        <w:t xml:space="preserve"> twee keer</w:t>
      </w:r>
      <w:r w:rsidR="0032342D" w:rsidRPr="002D7269">
        <w:t xml:space="preserve"> toe te vervullen met fosfaat </w:t>
      </w:r>
      <w:r w:rsidR="00AF5955">
        <w:t>d</w:t>
      </w:r>
      <w:r w:rsidR="0032342D" w:rsidRPr="002D7269">
        <w:t>at we wegspoelen.</w:t>
      </w:r>
      <w:r w:rsidR="00791AFD" w:rsidRPr="002D7269">
        <w:t xml:space="preserve"> </w:t>
      </w:r>
      <w:r w:rsidR="001353A0" w:rsidRPr="002D7269">
        <w:t>Voor kalium</w:t>
      </w:r>
      <w:r w:rsidR="00973730" w:rsidRPr="002D7269">
        <w:t xml:space="preserve"> is dit potentieel 100%</w:t>
      </w:r>
      <w:r w:rsidR="005F6593" w:rsidRPr="002D7269">
        <w:rPr>
          <w:rStyle w:val="Voetnootmarkering"/>
        </w:rPr>
        <w:footnoteReference w:id="9"/>
      </w:r>
      <w:r w:rsidR="00973730" w:rsidRPr="002D7269">
        <w:t xml:space="preserve"> en</w:t>
      </w:r>
      <w:r w:rsidR="001353A0" w:rsidRPr="002D7269">
        <w:t xml:space="preserve"> </w:t>
      </w:r>
      <w:r w:rsidR="00AF5955">
        <w:t xml:space="preserve">voor </w:t>
      </w:r>
      <w:r w:rsidR="001353A0" w:rsidRPr="002D7269">
        <w:t xml:space="preserve">stikstof </w:t>
      </w:r>
      <w:r w:rsidR="00791AFD" w:rsidRPr="002D7269">
        <w:t>50%</w:t>
      </w:r>
      <w:r w:rsidR="00A95872" w:rsidRPr="002D7269">
        <w:rPr>
          <w:rStyle w:val="Voetnootmarkering"/>
        </w:rPr>
        <w:footnoteReference w:id="10"/>
      </w:r>
      <w:r w:rsidR="006F16EB" w:rsidRPr="002D7269">
        <w:t xml:space="preserve">. </w:t>
      </w:r>
      <w:r w:rsidR="00B75C06" w:rsidRPr="002D7269">
        <w:t>G</w:t>
      </w:r>
      <w:r w:rsidRPr="002D7269">
        <w:t xml:space="preserve">rondstofonafhankelijkheid </w:t>
      </w:r>
      <w:r w:rsidR="00DE6377" w:rsidRPr="002D7269">
        <w:t>is</w:t>
      </w:r>
      <w:r w:rsidRPr="002D7269">
        <w:t xml:space="preserve"> haalbaar</w:t>
      </w:r>
      <w:r w:rsidR="00DE6377" w:rsidRPr="002D7269">
        <w:t>!</w:t>
      </w:r>
      <w:r w:rsidR="00996E29" w:rsidRPr="002D7269">
        <w:t xml:space="preserve"> </w:t>
      </w:r>
      <w:r w:rsidRPr="002D7269">
        <w:t xml:space="preserve">Helaas wordt maar een fractie </w:t>
      </w:r>
      <w:r w:rsidR="00642177" w:rsidRPr="002D7269">
        <w:t xml:space="preserve">van de bovengenoemde nutriënten </w:t>
      </w:r>
      <w:r w:rsidRPr="002D7269">
        <w:t xml:space="preserve">teruggewonnen als meststof; het grootste deel eindigt na verbranding als vulmiddel in asfalt en beton. </w:t>
      </w:r>
    </w:p>
    <w:p w14:paraId="2A9F91A2" w14:textId="77777777" w:rsidR="00B574B7" w:rsidRPr="002D7269" w:rsidRDefault="00B574B7" w:rsidP="00867942">
      <w:pPr>
        <w:pStyle w:val="Plattetekst"/>
        <w:spacing w:line="276" w:lineRule="auto"/>
      </w:pPr>
    </w:p>
    <w:p w14:paraId="76A7D28E" w14:textId="0325E835" w:rsidR="00B63556" w:rsidRPr="002D7269" w:rsidRDefault="00B63556" w:rsidP="00867942">
      <w:pPr>
        <w:pStyle w:val="Plattetekst"/>
        <w:spacing w:line="276" w:lineRule="auto"/>
      </w:pPr>
      <w:r w:rsidRPr="002D7269">
        <w:t xml:space="preserve">De nutriëntenkringloop in Nederland kunnen we weer in balans brengen door overschotten om te zetten naar meststoffen. Dit draagt bij aan strategische weerbaarheid, voedselsoevereiniteit en een beter milieu. Daarnaast draagt het voor Nederland bij aan verschillende Europese en nationale doelen en beleidsdossiers: </w:t>
      </w:r>
    </w:p>
    <w:p w14:paraId="3F0A2591" w14:textId="77777777" w:rsidR="00A80974" w:rsidRPr="003711B3" w:rsidRDefault="00A80974" w:rsidP="005D2544">
      <w:pPr>
        <w:pStyle w:val="Plattetekst"/>
        <w:rPr>
          <w:u w:val="single"/>
        </w:rPr>
      </w:pPr>
    </w:p>
    <w:p w14:paraId="34D1F759" w14:textId="5363DFA7" w:rsidR="00B26E50" w:rsidRPr="003711B3" w:rsidRDefault="00B63556" w:rsidP="00B26E50">
      <w:pPr>
        <w:pStyle w:val="Plattetekst"/>
        <w:numPr>
          <w:ilvl w:val="0"/>
          <w:numId w:val="20"/>
        </w:numPr>
        <w:rPr>
          <w:u w:val="single"/>
        </w:rPr>
      </w:pPr>
      <w:hyperlink r:id="rId8" w:history="1">
        <w:r w:rsidRPr="003711B3">
          <w:rPr>
            <w:rStyle w:val="Hyperlink"/>
          </w:rPr>
          <w:t>Circulaire economie</w:t>
        </w:r>
      </w:hyperlink>
    </w:p>
    <w:p w14:paraId="48842053" w14:textId="0054E1B7" w:rsidR="00B63556" w:rsidRPr="003711B3" w:rsidRDefault="00B63556" w:rsidP="00B26E50">
      <w:pPr>
        <w:pStyle w:val="Plattetekst"/>
        <w:numPr>
          <w:ilvl w:val="0"/>
          <w:numId w:val="20"/>
        </w:numPr>
        <w:rPr>
          <w:u w:val="single"/>
        </w:rPr>
      </w:pPr>
      <w:hyperlink r:id="rId9" w:history="1">
        <w:r w:rsidRPr="003711B3">
          <w:rPr>
            <w:rStyle w:val="Hyperlink"/>
          </w:rPr>
          <w:t xml:space="preserve">EU </w:t>
        </w:r>
        <w:proofErr w:type="spellStart"/>
        <w:r w:rsidRPr="003711B3">
          <w:rPr>
            <w:rStyle w:val="Hyperlink"/>
          </w:rPr>
          <w:t>Vision</w:t>
        </w:r>
        <w:proofErr w:type="spellEnd"/>
        <w:r w:rsidRPr="003711B3">
          <w:rPr>
            <w:rStyle w:val="Hyperlink"/>
          </w:rPr>
          <w:t xml:space="preserve"> </w:t>
        </w:r>
        <w:proofErr w:type="spellStart"/>
        <w:r w:rsidRPr="003711B3">
          <w:rPr>
            <w:rStyle w:val="Hyperlink"/>
          </w:rPr>
          <w:t>for</w:t>
        </w:r>
        <w:proofErr w:type="spellEnd"/>
        <w:r w:rsidRPr="003711B3">
          <w:rPr>
            <w:rStyle w:val="Hyperlink"/>
          </w:rPr>
          <w:t xml:space="preserve"> </w:t>
        </w:r>
        <w:proofErr w:type="spellStart"/>
        <w:r w:rsidRPr="003711B3">
          <w:rPr>
            <w:rStyle w:val="Hyperlink"/>
          </w:rPr>
          <w:t>Agriculture</w:t>
        </w:r>
        <w:proofErr w:type="spellEnd"/>
        <w:r w:rsidRPr="003711B3">
          <w:rPr>
            <w:rStyle w:val="Hyperlink"/>
          </w:rPr>
          <w:t xml:space="preserve"> </w:t>
        </w:r>
        <w:proofErr w:type="spellStart"/>
        <w:r w:rsidRPr="003711B3">
          <w:rPr>
            <w:rStyle w:val="Hyperlink"/>
          </w:rPr>
          <w:t>and</w:t>
        </w:r>
        <w:proofErr w:type="spellEnd"/>
        <w:r w:rsidRPr="003711B3">
          <w:rPr>
            <w:rStyle w:val="Hyperlink"/>
          </w:rPr>
          <w:t xml:space="preserve"> Food</w:t>
        </w:r>
      </w:hyperlink>
      <w:r w:rsidRPr="003711B3">
        <w:rPr>
          <w:u w:val="single"/>
        </w:rPr>
        <w:t xml:space="preserve"> </w:t>
      </w:r>
    </w:p>
    <w:p w14:paraId="0FD8DA2F" w14:textId="7927A0E8" w:rsidR="00B63556" w:rsidRPr="003711B3" w:rsidRDefault="00B63556" w:rsidP="00B26E50">
      <w:pPr>
        <w:pStyle w:val="Plattetekst"/>
        <w:numPr>
          <w:ilvl w:val="0"/>
          <w:numId w:val="20"/>
        </w:numPr>
        <w:rPr>
          <w:u w:val="single"/>
        </w:rPr>
      </w:pPr>
      <w:hyperlink r:id="rId10" w:history="1">
        <w:r w:rsidRPr="003711B3">
          <w:rPr>
            <w:rStyle w:val="Hyperlink"/>
          </w:rPr>
          <w:t xml:space="preserve">Critical </w:t>
        </w:r>
        <w:proofErr w:type="spellStart"/>
        <w:r w:rsidRPr="003711B3">
          <w:rPr>
            <w:rStyle w:val="Hyperlink"/>
          </w:rPr>
          <w:t>Raw</w:t>
        </w:r>
        <w:proofErr w:type="spellEnd"/>
        <w:r w:rsidRPr="003711B3">
          <w:rPr>
            <w:rStyle w:val="Hyperlink"/>
          </w:rPr>
          <w:t xml:space="preserve"> </w:t>
        </w:r>
        <w:proofErr w:type="spellStart"/>
        <w:r w:rsidRPr="003711B3">
          <w:rPr>
            <w:rStyle w:val="Hyperlink"/>
          </w:rPr>
          <w:t>Materials</w:t>
        </w:r>
        <w:proofErr w:type="spellEnd"/>
        <w:r w:rsidRPr="003711B3">
          <w:rPr>
            <w:rStyle w:val="Hyperlink"/>
          </w:rPr>
          <w:t xml:space="preserve"> Act</w:t>
        </w:r>
      </w:hyperlink>
    </w:p>
    <w:p w14:paraId="0D37023D" w14:textId="5E18D170" w:rsidR="00B63556" w:rsidRPr="003711B3" w:rsidRDefault="00B63556" w:rsidP="00B26E50">
      <w:pPr>
        <w:pStyle w:val="Plattetekst"/>
        <w:numPr>
          <w:ilvl w:val="0"/>
          <w:numId w:val="20"/>
        </w:numPr>
        <w:rPr>
          <w:u w:val="single"/>
        </w:rPr>
      </w:pPr>
      <w:hyperlink r:id="rId11" w:history="1">
        <w:r w:rsidRPr="003711B3">
          <w:rPr>
            <w:rStyle w:val="Hyperlink"/>
          </w:rPr>
          <w:t xml:space="preserve">Urban </w:t>
        </w:r>
        <w:proofErr w:type="spellStart"/>
        <w:r w:rsidRPr="003711B3">
          <w:rPr>
            <w:rStyle w:val="Hyperlink"/>
          </w:rPr>
          <w:t>Wastewater</w:t>
        </w:r>
        <w:proofErr w:type="spellEnd"/>
        <w:r w:rsidRPr="003711B3">
          <w:rPr>
            <w:rStyle w:val="Hyperlink"/>
          </w:rPr>
          <w:t xml:space="preserve"> Treatment Directive</w:t>
        </w:r>
      </w:hyperlink>
    </w:p>
    <w:p w14:paraId="125D8460" w14:textId="6B6007D1" w:rsidR="00B63556" w:rsidRPr="003711B3" w:rsidRDefault="00B63556" w:rsidP="00B26E50">
      <w:pPr>
        <w:pStyle w:val="Plattetekst"/>
        <w:numPr>
          <w:ilvl w:val="0"/>
          <w:numId w:val="20"/>
        </w:numPr>
        <w:rPr>
          <w:u w:val="single"/>
        </w:rPr>
      </w:pPr>
      <w:hyperlink r:id="rId12" w:history="1">
        <w:r w:rsidRPr="003711B3">
          <w:rPr>
            <w:rStyle w:val="Hyperlink"/>
          </w:rPr>
          <w:t xml:space="preserve">EU </w:t>
        </w:r>
        <w:proofErr w:type="spellStart"/>
        <w:r w:rsidRPr="003711B3">
          <w:rPr>
            <w:rStyle w:val="Hyperlink"/>
          </w:rPr>
          <w:t>Bioeconomy</w:t>
        </w:r>
        <w:proofErr w:type="spellEnd"/>
        <w:r w:rsidRPr="003711B3">
          <w:rPr>
            <w:rStyle w:val="Hyperlink"/>
          </w:rPr>
          <w:t xml:space="preserve"> </w:t>
        </w:r>
        <w:proofErr w:type="spellStart"/>
        <w:r w:rsidRPr="003711B3">
          <w:rPr>
            <w:rStyle w:val="Hyperlink"/>
          </w:rPr>
          <w:t>Strateg</w:t>
        </w:r>
        <w:r w:rsidR="00F814E5" w:rsidRPr="003711B3">
          <w:rPr>
            <w:rStyle w:val="Hyperlink"/>
          </w:rPr>
          <w:t>y</w:t>
        </w:r>
        <w:proofErr w:type="spellEnd"/>
      </w:hyperlink>
    </w:p>
    <w:p w14:paraId="28AC22C7" w14:textId="04347458" w:rsidR="00B63556" w:rsidRPr="003711B3" w:rsidRDefault="00B63556" w:rsidP="00B26E50">
      <w:pPr>
        <w:pStyle w:val="Plattetekst"/>
        <w:numPr>
          <w:ilvl w:val="0"/>
          <w:numId w:val="20"/>
        </w:numPr>
        <w:rPr>
          <w:u w:val="single"/>
        </w:rPr>
      </w:pPr>
      <w:hyperlink r:id="rId13" w:history="1">
        <w:r w:rsidRPr="003711B3">
          <w:rPr>
            <w:rStyle w:val="Hyperlink"/>
          </w:rPr>
          <w:t>Nitraat richtlijn</w:t>
        </w:r>
      </w:hyperlink>
    </w:p>
    <w:p w14:paraId="6EBF0634" w14:textId="4674A6EC" w:rsidR="00B63556" w:rsidRPr="003711B3" w:rsidRDefault="00B63556" w:rsidP="00B26E50">
      <w:pPr>
        <w:pStyle w:val="Plattetekst"/>
        <w:numPr>
          <w:ilvl w:val="0"/>
          <w:numId w:val="20"/>
        </w:numPr>
        <w:rPr>
          <w:u w:val="single"/>
        </w:rPr>
      </w:pPr>
      <w:hyperlink r:id="rId14" w:history="1">
        <w:r w:rsidRPr="003711B3">
          <w:rPr>
            <w:rStyle w:val="Hyperlink"/>
          </w:rPr>
          <w:t>Kaderrichtlijn Water</w:t>
        </w:r>
      </w:hyperlink>
    </w:p>
    <w:p w14:paraId="159F45D9" w14:textId="77777777" w:rsidR="00D22658" w:rsidRPr="00767968" w:rsidRDefault="00D22658" w:rsidP="00767968">
      <w:pPr>
        <w:pStyle w:val="Plattetekst"/>
        <w:spacing w:line="240" w:lineRule="auto"/>
        <w:rPr>
          <w:b/>
          <w:bCs/>
        </w:rPr>
      </w:pPr>
    </w:p>
    <w:p w14:paraId="4279567F" w14:textId="77777777" w:rsidR="00767968" w:rsidRDefault="00B63556" w:rsidP="00F6121C">
      <w:pPr>
        <w:spacing w:line="276" w:lineRule="auto"/>
        <w:rPr>
          <w:b/>
          <w:bCs/>
        </w:rPr>
      </w:pPr>
      <w:r w:rsidRPr="00767968">
        <w:rPr>
          <w:b/>
          <w:bCs/>
        </w:rPr>
        <w:t>Nederland loopt achter op de gemaakte afspraken</w:t>
      </w:r>
    </w:p>
    <w:p w14:paraId="4E65882A" w14:textId="10A8D9A9" w:rsidR="00DB43E8" w:rsidRPr="002D7269" w:rsidRDefault="0059052C" w:rsidP="00F6121C">
      <w:pPr>
        <w:spacing w:line="276" w:lineRule="auto"/>
        <w:rPr>
          <w:rFonts w:eastAsia="Times New Roman" w:cs="Times New Roman"/>
          <w:color w:val="000000" w:themeColor="text1"/>
          <w:lang w:eastAsia="nl-NL"/>
        </w:rPr>
      </w:pPr>
      <w:r w:rsidRPr="002D7269">
        <w:t>Als voorbeeld noemen w</w:t>
      </w:r>
      <w:r w:rsidR="00B63556" w:rsidRPr="002D7269">
        <w:t>e circulaire economie</w:t>
      </w:r>
      <w:r w:rsidR="00A81DDC" w:rsidRPr="002D7269">
        <w:t xml:space="preserve">. </w:t>
      </w:r>
      <w:r w:rsidR="00B63556" w:rsidRPr="002D7269">
        <w:t xml:space="preserve"> </w:t>
      </w:r>
      <w:r w:rsidR="00A81DDC" w:rsidRPr="002D7269">
        <w:t>H</w:t>
      </w:r>
      <w:r w:rsidR="00B63556" w:rsidRPr="002D7269">
        <w:t>et Planbureau voor de Leefomgeving stelt dat we achterlopen in deze transitie</w:t>
      </w:r>
      <w:r w:rsidR="00E1781B" w:rsidRPr="002D7269">
        <w:rPr>
          <w:vertAlign w:val="superscript"/>
        </w:rPr>
        <w:footnoteReference w:id="11"/>
      </w:r>
      <w:r w:rsidR="00A80974" w:rsidRPr="002D7269">
        <w:t xml:space="preserve">, </w:t>
      </w:r>
      <w:r w:rsidR="00B63556" w:rsidRPr="002D7269">
        <w:t xml:space="preserve">iets wat </w:t>
      </w:r>
      <w:r w:rsidR="00E554FD" w:rsidRPr="002D7269">
        <w:t xml:space="preserve">wij ook zien waar het gaat om </w:t>
      </w:r>
      <w:r w:rsidR="00B63556" w:rsidRPr="002D7269">
        <w:t xml:space="preserve">het sluiten van de nutriënten kringloop. </w:t>
      </w:r>
      <w:r w:rsidR="00DC6FD7" w:rsidRPr="002D7269">
        <w:t xml:space="preserve">De transitie van verwerker van reststromen naar producent van circulaire meststoffen is moeilijk door complexe wet- en regelgeving en een disbalans op de meststoffenmarkt waar negatieve prijzen gelden. </w:t>
      </w:r>
      <w:r w:rsidR="00B63556" w:rsidRPr="002D7269">
        <w:t xml:space="preserve">Het verdienmodel van </w:t>
      </w:r>
      <w:r w:rsidR="00DC6FD7" w:rsidRPr="002D7269">
        <w:t xml:space="preserve">deze </w:t>
      </w:r>
      <w:r w:rsidR="00B63556" w:rsidRPr="002D7269">
        <w:t>bedrijven draait nog te vaak om het verwerken van reststromen. Er is behoefte aan een gezonde circulaire meststoffenmarkt</w:t>
      </w:r>
      <w:r w:rsidR="00605CBD" w:rsidRPr="002D7269">
        <w:t>, waarin terugwinning loont</w:t>
      </w:r>
      <w:r w:rsidR="00B63556" w:rsidRPr="002D7269">
        <w:t xml:space="preserve">. Daarvoor is ook een actieve rol weggelegd voor de ministeries van LVVN, </w:t>
      </w:r>
      <w:proofErr w:type="spellStart"/>
      <w:r w:rsidR="00B63556" w:rsidRPr="002D7269">
        <w:t>IenW</w:t>
      </w:r>
      <w:proofErr w:type="spellEnd"/>
      <w:r w:rsidR="00B63556" w:rsidRPr="002D7269">
        <w:t xml:space="preserve"> en EZ. Door samen te werken kunnen we niet alleen de nutriëntenkringloop sluiten, maar ook bijdragen aan </w:t>
      </w:r>
      <w:r w:rsidR="0046515E" w:rsidRPr="002D7269">
        <w:t>beleids</w:t>
      </w:r>
      <w:r w:rsidR="00B63556" w:rsidRPr="002D7269">
        <w:t xml:space="preserve">dossiers </w:t>
      </w:r>
      <w:r w:rsidR="00074358" w:rsidRPr="002D7269">
        <w:rPr>
          <w:rFonts w:eastAsia="Times New Roman" w:cs="Times New Roman"/>
          <w:color w:val="000000" w:themeColor="text1"/>
          <w:lang w:eastAsia="nl-NL"/>
        </w:rPr>
        <w:t>en doelen voor grondstoffen onafhankelijkheid, voedselsoevereiniteit en milieukwaliteit.</w:t>
      </w:r>
    </w:p>
    <w:p w14:paraId="0EC7127A" w14:textId="77777777" w:rsidR="005D750C" w:rsidRPr="005D750C" w:rsidRDefault="005D750C" w:rsidP="005D750C">
      <w:pPr>
        <w:pStyle w:val="Plattetekst"/>
        <w:spacing w:line="240" w:lineRule="auto"/>
        <w:rPr>
          <w:b/>
          <w:bCs/>
        </w:rPr>
      </w:pPr>
    </w:p>
    <w:p w14:paraId="424F58E6" w14:textId="18159378" w:rsidR="00074358" w:rsidRPr="002D7269" w:rsidRDefault="00074358" w:rsidP="00867942">
      <w:pPr>
        <w:spacing w:after="100" w:afterAutospacing="1" w:line="276" w:lineRule="auto"/>
        <w:rPr>
          <w:rFonts w:eastAsia="Times New Roman" w:cs="Times New Roman"/>
          <w:b/>
          <w:bCs/>
          <w:lang w:eastAsia="nl-NL"/>
        </w:rPr>
      </w:pPr>
      <w:r w:rsidRPr="002D7269">
        <w:rPr>
          <w:rFonts w:eastAsia="Times New Roman" w:cs="Times New Roman"/>
          <w:lang w:eastAsia="nl-NL"/>
        </w:rPr>
        <w:t xml:space="preserve">Het is </w:t>
      </w:r>
      <w:r w:rsidR="003A14E8" w:rsidRPr="002D7269">
        <w:rPr>
          <w:rFonts w:eastAsia="Times New Roman" w:cs="Times New Roman"/>
          <w:lang w:eastAsia="nl-NL"/>
        </w:rPr>
        <w:t>zonde</w:t>
      </w:r>
      <w:r w:rsidRPr="002D7269">
        <w:rPr>
          <w:rFonts w:eastAsia="Times New Roman" w:cs="Times New Roman"/>
          <w:lang w:eastAsia="nl-NL"/>
        </w:rPr>
        <w:t xml:space="preserve"> dat Nederland achterloopt, </w:t>
      </w:r>
      <w:r w:rsidRPr="002D7269">
        <w:rPr>
          <w:rFonts w:eastAsia="Times New Roman" w:cs="Times New Roman"/>
          <w:color w:val="000000" w:themeColor="text1"/>
          <w:lang w:eastAsia="nl-NL"/>
        </w:rPr>
        <w:t xml:space="preserve">juist omdat wij een unieke uitgangspositie hebben om de kansen te benutten die </w:t>
      </w:r>
      <w:r w:rsidR="00EE791C" w:rsidRPr="002D7269">
        <w:rPr>
          <w:rFonts w:eastAsia="Times New Roman" w:cs="Times New Roman"/>
          <w:color w:val="000000" w:themeColor="text1"/>
          <w:lang w:eastAsia="nl-NL"/>
        </w:rPr>
        <w:t>ontstaan bij</w:t>
      </w:r>
      <w:r w:rsidRPr="002D7269">
        <w:rPr>
          <w:rFonts w:eastAsia="Times New Roman" w:cs="Times New Roman"/>
          <w:color w:val="000000" w:themeColor="text1"/>
          <w:lang w:eastAsia="nl-NL"/>
        </w:rPr>
        <w:t xml:space="preserve"> het sluiten van de nutriëntenkringloop. </w:t>
      </w:r>
    </w:p>
    <w:p w14:paraId="746B0CF0" w14:textId="6FBC9595" w:rsidR="00074358" w:rsidRPr="002D7269" w:rsidRDefault="00074358" w:rsidP="000046FF">
      <w:pPr>
        <w:spacing w:line="240" w:lineRule="auto"/>
        <w:rPr>
          <w:rFonts w:eastAsia="Times New Roman" w:cs="Times New Roman"/>
          <w:b/>
          <w:bCs/>
          <w:lang w:eastAsia="nl-NL"/>
        </w:rPr>
      </w:pPr>
      <w:r w:rsidRPr="002D7269">
        <w:rPr>
          <w:rFonts w:eastAsia="Times New Roman" w:cs="Times New Roman"/>
          <w:b/>
          <w:bCs/>
          <w:lang w:eastAsia="nl-NL"/>
        </w:rPr>
        <w:t>Unieke kansen</w:t>
      </w:r>
      <w:r w:rsidR="008C52BE" w:rsidRPr="002D7269">
        <w:rPr>
          <w:rFonts w:eastAsia="Times New Roman" w:cs="Times New Roman"/>
          <w:b/>
          <w:bCs/>
          <w:lang w:eastAsia="nl-NL"/>
        </w:rPr>
        <w:t xml:space="preserve"> en voorwaarden</w:t>
      </w:r>
    </w:p>
    <w:p w14:paraId="18686F17" w14:textId="77777777" w:rsidR="00F6121C" w:rsidRDefault="00074358" w:rsidP="00074358">
      <w:pPr>
        <w:spacing w:line="240" w:lineRule="auto"/>
        <w:rPr>
          <w:rFonts w:eastAsia="Times New Roman" w:cs="Times New Roman"/>
          <w:color w:val="000000" w:themeColor="text1"/>
          <w:lang w:eastAsia="nl-NL"/>
        </w:rPr>
      </w:pPr>
      <w:r w:rsidRPr="002D7269">
        <w:rPr>
          <w:rFonts w:eastAsia="Times New Roman" w:cs="Times New Roman"/>
          <w:color w:val="000000" w:themeColor="text1"/>
          <w:lang w:eastAsia="nl-NL"/>
        </w:rPr>
        <w:t xml:space="preserve">De voorwaarden voor het sluiten van de nutriëntenkringloop in Nederland zijn gunstig. Vraag en aanbod liggen dicht bij elkaar door de nauwe verwevenheid van stedelijke en landelijke gebieden. </w:t>
      </w:r>
    </w:p>
    <w:p w14:paraId="6EFDE10F" w14:textId="77777777" w:rsidR="00F6121C" w:rsidRDefault="00F6121C" w:rsidP="00074358">
      <w:pPr>
        <w:spacing w:line="240" w:lineRule="auto"/>
        <w:rPr>
          <w:rFonts w:eastAsia="Times New Roman" w:cs="Times New Roman"/>
          <w:color w:val="000000" w:themeColor="text1"/>
          <w:lang w:eastAsia="nl-NL"/>
        </w:rPr>
      </w:pPr>
    </w:p>
    <w:p w14:paraId="255CF159" w14:textId="77777777" w:rsidR="00F6121C" w:rsidRDefault="00F6121C" w:rsidP="00A006FD">
      <w:pPr>
        <w:spacing w:line="276" w:lineRule="auto"/>
        <w:rPr>
          <w:rFonts w:eastAsia="Times New Roman" w:cs="Times New Roman"/>
          <w:color w:val="000000" w:themeColor="text1"/>
          <w:lang w:eastAsia="nl-NL"/>
        </w:rPr>
      </w:pPr>
    </w:p>
    <w:p w14:paraId="49DC3C29" w14:textId="05DAC4E7" w:rsidR="00074358" w:rsidRPr="002D7269" w:rsidRDefault="00074358" w:rsidP="00A006FD">
      <w:pPr>
        <w:spacing w:line="276" w:lineRule="auto"/>
        <w:rPr>
          <w:rFonts w:eastAsia="Times New Roman" w:cs="Times New Roman"/>
          <w:color w:val="000000" w:themeColor="text1"/>
          <w:lang w:eastAsia="nl-NL"/>
        </w:rPr>
      </w:pPr>
      <w:r w:rsidRPr="002D7269">
        <w:rPr>
          <w:rFonts w:eastAsia="Times New Roman" w:cs="Times New Roman"/>
          <w:color w:val="000000" w:themeColor="text1"/>
          <w:lang w:eastAsia="nl-NL"/>
        </w:rPr>
        <w:t>Daarnaast beschikt Nederland over een sterke meststoffensector die, zowel qua productie als distributie, goed in staat is om circulaire nutriënten te verwerken tot bruikbare producten. Deze sector is bovendien gewend om te opereren binnen sterk geïntegreerde ketens, wat essentieel is om kwalitatieve producten op schaal te kunnen leveren.</w:t>
      </w:r>
    </w:p>
    <w:p w14:paraId="20FCDD2B" w14:textId="77777777" w:rsidR="00074358" w:rsidRPr="002D7269" w:rsidRDefault="00074358" w:rsidP="00074358">
      <w:pPr>
        <w:spacing w:line="240" w:lineRule="auto"/>
        <w:rPr>
          <w:rFonts w:eastAsia="Times New Roman" w:cs="Times New Roman"/>
          <w:color w:val="000000" w:themeColor="text1"/>
          <w:lang w:eastAsia="nl-NL"/>
        </w:rPr>
      </w:pPr>
    </w:p>
    <w:p w14:paraId="1FBD8028" w14:textId="48E57407" w:rsidR="00074358" w:rsidRPr="002D7269" w:rsidRDefault="00074358" w:rsidP="00A006FD">
      <w:pPr>
        <w:spacing w:line="276" w:lineRule="auto"/>
        <w:rPr>
          <w:rFonts w:eastAsia="Times New Roman" w:cs="Times New Roman"/>
          <w:color w:val="000000" w:themeColor="text1"/>
          <w:lang w:eastAsia="nl-NL"/>
        </w:rPr>
      </w:pPr>
      <w:r w:rsidRPr="002D7269">
        <w:rPr>
          <w:rFonts w:eastAsia="Times New Roman" w:cs="Times New Roman"/>
          <w:color w:val="000000" w:themeColor="text1"/>
          <w:lang w:eastAsia="nl-NL"/>
        </w:rPr>
        <w:t xml:space="preserve">Nederland loopt internationaal voorop op het gebied van water en voedsel. De aanwezige kennis, expertise en bedrijvigheid maken dat deze sectoren uitstekend gepositioneerd zijn om nieuwe oplossingen te ontwikkelen. Het sluiten van de nutriëntenkringloop biedt een unieke kans voor deze sectoren om </w:t>
      </w:r>
      <w:r w:rsidR="003F4483" w:rsidRPr="002D7269">
        <w:rPr>
          <w:rFonts w:eastAsia="Times New Roman" w:cs="Times New Roman"/>
          <w:color w:val="000000" w:themeColor="text1"/>
          <w:lang w:eastAsia="nl-NL"/>
        </w:rPr>
        <w:t>onderscheidende</w:t>
      </w:r>
      <w:r w:rsidRPr="002D7269">
        <w:rPr>
          <w:rFonts w:eastAsia="Times New Roman" w:cs="Times New Roman"/>
          <w:color w:val="000000" w:themeColor="text1"/>
          <w:lang w:eastAsia="nl-NL"/>
        </w:rPr>
        <w:t xml:space="preserve"> producten</w:t>
      </w:r>
      <w:r w:rsidR="00EE791C" w:rsidRPr="002D7269">
        <w:rPr>
          <w:rFonts w:eastAsia="Times New Roman" w:cs="Times New Roman"/>
          <w:color w:val="000000" w:themeColor="text1"/>
          <w:lang w:eastAsia="nl-NL"/>
        </w:rPr>
        <w:t>, technieken</w:t>
      </w:r>
      <w:r w:rsidRPr="002D7269">
        <w:rPr>
          <w:rFonts w:eastAsia="Times New Roman" w:cs="Times New Roman"/>
          <w:color w:val="000000" w:themeColor="text1"/>
          <w:lang w:eastAsia="nl-NL"/>
        </w:rPr>
        <w:t xml:space="preserve"> en diensten te ontwikkelen. Daarmee dragen zij niet alleen bij aan </w:t>
      </w:r>
      <w:r w:rsidR="00CF1229" w:rsidRPr="002D7269">
        <w:rPr>
          <w:rFonts w:eastAsia="Times New Roman" w:cs="Times New Roman"/>
          <w:color w:val="000000" w:themeColor="text1"/>
          <w:lang w:eastAsia="nl-NL"/>
        </w:rPr>
        <w:t xml:space="preserve">circulaire </w:t>
      </w:r>
      <w:r w:rsidR="00782BCC" w:rsidRPr="002D7269">
        <w:rPr>
          <w:rFonts w:eastAsia="Times New Roman" w:cs="Times New Roman"/>
          <w:color w:val="000000" w:themeColor="text1"/>
          <w:lang w:eastAsia="nl-NL"/>
        </w:rPr>
        <w:t>voedsel</w:t>
      </w:r>
      <w:r w:rsidRPr="002D7269">
        <w:rPr>
          <w:rFonts w:eastAsia="Times New Roman" w:cs="Times New Roman"/>
          <w:color w:val="000000" w:themeColor="text1"/>
          <w:lang w:eastAsia="nl-NL"/>
        </w:rPr>
        <w:t xml:space="preserve">productie en </w:t>
      </w:r>
      <w:r w:rsidR="00CF1229" w:rsidRPr="002D7269">
        <w:rPr>
          <w:rFonts w:eastAsia="Times New Roman" w:cs="Times New Roman"/>
          <w:color w:val="000000" w:themeColor="text1"/>
          <w:lang w:eastAsia="nl-NL"/>
        </w:rPr>
        <w:t xml:space="preserve">duurzaam </w:t>
      </w:r>
      <w:r w:rsidRPr="002D7269">
        <w:rPr>
          <w:rFonts w:eastAsia="Times New Roman" w:cs="Times New Roman"/>
          <w:color w:val="000000" w:themeColor="text1"/>
          <w:lang w:eastAsia="nl-NL"/>
        </w:rPr>
        <w:t xml:space="preserve">waterbeheer, maar versterken zij ook het verdienvermogen van Nederland op de internationale markt. </w:t>
      </w:r>
    </w:p>
    <w:p w14:paraId="43EA4796" w14:textId="2B8196C1" w:rsidR="00074358" w:rsidRPr="002D7269" w:rsidRDefault="00074358" w:rsidP="00A006FD">
      <w:pPr>
        <w:spacing w:line="276" w:lineRule="auto"/>
        <w:rPr>
          <w:rFonts w:eastAsia="Times New Roman" w:cs="Times New Roman"/>
          <w:color w:val="000000" w:themeColor="text1"/>
          <w:lang w:eastAsia="nl-NL"/>
        </w:rPr>
      </w:pPr>
      <w:r w:rsidRPr="002D7269">
        <w:rPr>
          <w:rFonts w:eastAsia="Times New Roman" w:cs="Times New Roman"/>
          <w:color w:val="000000" w:themeColor="text1"/>
          <w:lang w:eastAsia="nl-NL"/>
        </w:rPr>
        <mc:AlternateContent>
          <mc:Choice Requires="wps">
            <w:drawing>
              <wp:anchor distT="45720" distB="45720" distL="114300" distR="114300" simplePos="0" relativeHeight="251659264" behindDoc="0" locked="0" layoutInCell="1" allowOverlap="1" wp14:anchorId="3E20B54C" wp14:editId="406BAA24">
                <wp:simplePos x="0" y="0"/>
                <wp:positionH relativeFrom="margin">
                  <wp:align>left</wp:align>
                </wp:positionH>
                <wp:positionV relativeFrom="paragraph">
                  <wp:posOffset>320040</wp:posOffset>
                </wp:positionV>
                <wp:extent cx="5913120" cy="47396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9640"/>
                        </a:xfrm>
                        <a:prstGeom prst="rect">
                          <a:avLst/>
                        </a:prstGeom>
                        <a:solidFill>
                          <a:srgbClr val="2E9AA0"/>
                        </a:solidFill>
                        <a:ln w="9525">
                          <a:noFill/>
                          <a:miter lim="800000"/>
                          <a:headEnd/>
                          <a:tailEnd/>
                        </a:ln>
                      </wps:spPr>
                      <wps:txbx>
                        <w:txbxContent>
                          <w:p w14:paraId="6B39BD0F" w14:textId="000E8502" w:rsidR="003C7FA4" w:rsidRPr="002D7269" w:rsidRDefault="00074358" w:rsidP="00DB37E1">
                            <w:pPr>
                              <w:spacing w:before="100" w:beforeAutospacing="1" w:after="240" w:line="240" w:lineRule="auto"/>
                              <w:rPr>
                                <w:rFonts w:eastAsia="Times New Roman" w:cs="Times New Roman"/>
                                <w:b/>
                                <w:bCs/>
                                <w:color w:val="FFFFFF" w:themeColor="background1"/>
                                <w:sz w:val="22"/>
                                <w:szCs w:val="22"/>
                                <w:lang w:eastAsia="nl-NL"/>
                              </w:rPr>
                            </w:pPr>
                            <w:r w:rsidRPr="002D7269">
                              <w:rPr>
                                <w:rFonts w:eastAsia="Times New Roman" w:cs="Times New Roman"/>
                                <w:b/>
                                <w:bCs/>
                                <w:color w:val="FFFFFF" w:themeColor="background1"/>
                                <w:sz w:val="22"/>
                                <w:szCs w:val="22"/>
                                <w:lang w:eastAsia="nl-NL"/>
                              </w:rPr>
                              <w:t xml:space="preserve">Kringloopsluiting in de praktijk – </w:t>
                            </w:r>
                            <w:r w:rsidR="00027D3F">
                              <w:rPr>
                                <w:rFonts w:eastAsia="Times New Roman" w:cs="Times New Roman"/>
                                <w:b/>
                                <w:bCs/>
                                <w:color w:val="FFFFFF" w:themeColor="background1"/>
                                <w:sz w:val="22"/>
                                <w:szCs w:val="22"/>
                                <w:lang w:eastAsia="nl-NL"/>
                              </w:rPr>
                              <w:t>v</w:t>
                            </w:r>
                            <w:r w:rsidRPr="002D7269">
                              <w:rPr>
                                <w:rFonts w:eastAsia="Times New Roman" w:cs="Times New Roman"/>
                                <w:b/>
                                <w:bCs/>
                                <w:color w:val="FFFFFF" w:themeColor="background1"/>
                                <w:sz w:val="22"/>
                                <w:szCs w:val="22"/>
                                <w:lang w:eastAsia="nl-NL"/>
                              </w:rPr>
                              <w:t>oorbeelden om op voort te bouwen</w:t>
                            </w:r>
                          </w:p>
                          <w:p w14:paraId="46DB6E7F" w14:textId="481160CA" w:rsidR="00074358" w:rsidRPr="002D7269" w:rsidRDefault="00074358" w:rsidP="00782BCC">
                            <w:pPr>
                              <w:numPr>
                                <w:ilvl w:val="0"/>
                                <w:numId w:val="21"/>
                              </w:numPr>
                              <w:spacing w:after="100" w:afterAutospacing="1" w:line="240" w:lineRule="auto"/>
                              <w:rPr>
                                <w:rFonts w:eastAsia="Times New Roman" w:cs="Times New Roman"/>
                                <w:color w:val="FFFFFF" w:themeColor="background1"/>
                                <w:sz w:val="22"/>
                                <w:szCs w:val="22"/>
                                <w:lang w:eastAsia="nl-NL"/>
                              </w:rPr>
                            </w:pPr>
                            <w:r w:rsidRPr="002D7269">
                              <w:rPr>
                                <w:rFonts w:eastAsia="Times New Roman" w:cs="Times New Roman"/>
                                <w:b/>
                                <w:bCs/>
                                <w:color w:val="FFFFFF" w:themeColor="background1"/>
                                <w:sz w:val="22"/>
                                <w:szCs w:val="22"/>
                                <w:lang w:eastAsia="nl-NL"/>
                              </w:rPr>
                              <w:t>Waterschappen en waterbedrijven</w:t>
                            </w:r>
                            <w:r w:rsidRPr="002D7269">
                              <w:rPr>
                                <w:rFonts w:eastAsia="Times New Roman" w:cs="Times New Roman"/>
                                <w:color w:val="FFFFFF" w:themeColor="background1"/>
                                <w:sz w:val="22"/>
                                <w:szCs w:val="22"/>
                                <w:lang w:eastAsia="nl-NL"/>
                              </w:rPr>
                              <w:t xml:space="preserve"> leveren grote inspanningen om te voldoen aan </w:t>
                            </w:r>
                            <w:r w:rsidR="00E80DFD" w:rsidRPr="002D7269">
                              <w:rPr>
                                <w:rFonts w:eastAsia="Times New Roman" w:cs="Times New Roman"/>
                                <w:color w:val="FFFFFF" w:themeColor="background1"/>
                                <w:sz w:val="22"/>
                                <w:szCs w:val="22"/>
                                <w:lang w:eastAsia="nl-NL"/>
                              </w:rPr>
                              <w:t xml:space="preserve">de eisen van de </w:t>
                            </w:r>
                            <w:r w:rsidRPr="002D7269">
                              <w:rPr>
                                <w:rFonts w:eastAsia="Times New Roman" w:cs="Times New Roman"/>
                                <w:color w:val="FFFFFF" w:themeColor="background1"/>
                                <w:sz w:val="22"/>
                                <w:szCs w:val="22"/>
                                <w:lang w:eastAsia="nl-NL"/>
                              </w:rPr>
                              <w:t xml:space="preserve">Kaderrichtlijn Water en Urban </w:t>
                            </w:r>
                            <w:proofErr w:type="spellStart"/>
                            <w:r w:rsidRPr="002D7269">
                              <w:rPr>
                                <w:rFonts w:eastAsia="Times New Roman" w:cs="Times New Roman"/>
                                <w:color w:val="FFFFFF" w:themeColor="background1"/>
                                <w:sz w:val="22"/>
                                <w:szCs w:val="22"/>
                                <w:lang w:eastAsia="nl-NL"/>
                              </w:rPr>
                              <w:t>Wastewater</w:t>
                            </w:r>
                            <w:proofErr w:type="spellEnd"/>
                            <w:r w:rsidRPr="002D7269">
                              <w:rPr>
                                <w:rFonts w:eastAsia="Times New Roman" w:cs="Times New Roman"/>
                                <w:color w:val="FFFFFF" w:themeColor="background1"/>
                                <w:sz w:val="22"/>
                                <w:szCs w:val="22"/>
                                <w:lang w:eastAsia="nl-NL"/>
                              </w:rPr>
                              <w:t xml:space="preserve"> Treatment Directive.  Hiervoor wordt ook gewerkt aan terugwinning van nutriënten waarvoor </w:t>
                            </w:r>
                            <w:proofErr w:type="spellStart"/>
                            <w:r w:rsidRPr="002D7269">
                              <w:rPr>
                                <w:rFonts w:eastAsia="Times New Roman" w:cs="Times New Roman"/>
                                <w:color w:val="FFFFFF" w:themeColor="background1"/>
                                <w:sz w:val="22"/>
                                <w:szCs w:val="22"/>
                                <w:lang w:eastAsia="nl-NL"/>
                              </w:rPr>
                              <w:t>AquaMinerals</w:t>
                            </w:r>
                            <w:proofErr w:type="spellEnd"/>
                            <w:r w:rsidRPr="002D7269">
                              <w:rPr>
                                <w:rFonts w:eastAsia="Times New Roman" w:cs="Times New Roman"/>
                                <w:color w:val="FFFFFF" w:themeColor="background1"/>
                                <w:sz w:val="22"/>
                                <w:szCs w:val="22"/>
                                <w:lang w:eastAsia="nl-NL"/>
                              </w:rPr>
                              <w:t xml:space="preserve"> een goede afzetmarkt zoekt.</w:t>
                            </w:r>
                          </w:p>
                          <w:p w14:paraId="6B2AEBC1" w14:textId="77777777" w:rsidR="00074358" w:rsidRPr="002D7269" w:rsidRDefault="00074358" w:rsidP="00782BCC">
                            <w:pPr>
                              <w:numPr>
                                <w:ilvl w:val="0"/>
                                <w:numId w:val="21"/>
                              </w:numPr>
                              <w:spacing w:before="100" w:beforeAutospacing="1" w:after="100" w:afterAutospacing="1" w:line="240" w:lineRule="auto"/>
                              <w:rPr>
                                <w:rFonts w:eastAsia="Times New Roman" w:cs="Times New Roman"/>
                                <w:color w:val="FFFFFF" w:themeColor="background1"/>
                                <w:sz w:val="22"/>
                                <w:szCs w:val="22"/>
                                <w:lang w:eastAsia="nl-NL"/>
                              </w:rPr>
                            </w:pPr>
                            <w:r w:rsidRPr="002D7269">
                              <w:rPr>
                                <w:rFonts w:eastAsia="Times New Roman" w:cs="Times New Roman"/>
                                <w:b/>
                                <w:bCs/>
                                <w:color w:val="FFFFFF" w:themeColor="background1"/>
                                <w:sz w:val="22"/>
                                <w:szCs w:val="22"/>
                                <w:lang w:eastAsia="nl-NL"/>
                              </w:rPr>
                              <w:t>Slibverwerkers</w:t>
                            </w:r>
                            <w:r w:rsidRPr="002D7269">
                              <w:rPr>
                                <w:rFonts w:eastAsia="Times New Roman" w:cs="Times New Roman"/>
                                <w:color w:val="FFFFFF" w:themeColor="background1"/>
                                <w:sz w:val="22"/>
                                <w:szCs w:val="22"/>
                                <w:lang w:eastAsia="nl-NL"/>
                              </w:rPr>
                              <w:t xml:space="preserve"> zoals GMB, HVC en SNB investeren in technologieën om nutriënten terug te winnen, en produceren al ammoniumsulfaat en mineraalrijke slibassen.</w:t>
                            </w:r>
                          </w:p>
                          <w:p w14:paraId="68A34159" w14:textId="536C92DC" w:rsidR="00074358" w:rsidRPr="002D7269" w:rsidRDefault="00074358" w:rsidP="00782BCC">
                            <w:pPr>
                              <w:numPr>
                                <w:ilvl w:val="0"/>
                                <w:numId w:val="21"/>
                              </w:numPr>
                              <w:spacing w:before="100" w:beforeAutospacing="1" w:after="100" w:afterAutospacing="1" w:line="240" w:lineRule="auto"/>
                              <w:rPr>
                                <w:rFonts w:eastAsia="Times New Roman" w:cs="Times New Roman"/>
                                <w:color w:val="FFFFFF" w:themeColor="background1"/>
                                <w:sz w:val="22"/>
                                <w:szCs w:val="22"/>
                                <w:lang w:eastAsia="nl-NL"/>
                              </w:rPr>
                            </w:pPr>
                            <w:r w:rsidRPr="002D7269">
                              <w:rPr>
                                <w:rFonts w:eastAsia="Times New Roman" w:cs="Times New Roman"/>
                                <w:b/>
                                <w:bCs/>
                                <w:color w:val="FFFFFF" w:themeColor="background1"/>
                                <w:sz w:val="22"/>
                                <w:szCs w:val="22"/>
                                <w:lang w:eastAsia="nl-NL"/>
                              </w:rPr>
                              <w:t>Kunstmestproducenten</w:t>
                            </w:r>
                            <w:r w:rsidRPr="002D7269">
                              <w:rPr>
                                <w:rFonts w:eastAsia="Times New Roman" w:cs="Times New Roman"/>
                                <w:color w:val="FFFFFF" w:themeColor="background1"/>
                                <w:sz w:val="22"/>
                                <w:szCs w:val="22"/>
                                <w:lang w:eastAsia="nl-NL"/>
                              </w:rPr>
                              <w:t xml:space="preserve"> zoals ICL kunnen deze reststromen al verwerken </w:t>
                            </w:r>
                            <w:r w:rsidR="00E82CBE">
                              <w:rPr>
                                <w:rFonts w:eastAsia="Times New Roman" w:cs="Times New Roman"/>
                                <w:color w:val="FFFFFF" w:themeColor="background1"/>
                                <w:sz w:val="22"/>
                                <w:szCs w:val="22"/>
                                <w:lang w:eastAsia="nl-NL"/>
                              </w:rPr>
                              <w:t>tot</w:t>
                            </w:r>
                            <w:r w:rsidRPr="002D7269">
                              <w:rPr>
                                <w:rFonts w:eastAsia="Times New Roman" w:cs="Times New Roman"/>
                                <w:color w:val="FFFFFF" w:themeColor="background1"/>
                                <w:sz w:val="22"/>
                                <w:szCs w:val="22"/>
                                <w:lang w:eastAsia="nl-NL"/>
                              </w:rPr>
                              <w:t xml:space="preserve"> circulaire meststoffen.</w:t>
                            </w:r>
                          </w:p>
                          <w:p w14:paraId="5A0EE572" w14:textId="475F92B5" w:rsidR="00074358" w:rsidRPr="002D7269" w:rsidRDefault="004C6CD8" w:rsidP="00782BCC">
                            <w:pPr>
                              <w:numPr>
                                <w:ilvl w:val="0"/>
                                <w:numId w:val="21"/>
                              </w:numPr>
                              <w:spacing w:before="100" w:beforeAutospacing="1" w:after="100" w:afterAutospacing="1" w:line="240" w:lineRule="auto"/>
                              <w:rPr>
                                <w:rFonts w:eastAsia="Times New Roman" w:cs="Times New Roman"/>
                                <w:color w:val="FFFFFF" w:themeColor="background1"/>
                                <w:sz w:val="22"/>
                                <w:szCs w:val="22"/>
                                <w:lang w:eastAsia="nl-NL"/>
                              </w:rPr>
                            </w:pPr>
                            <w:r w:rsidRPr="002D7269">
                              <w:rPr>
                                <w:rFonts w:eastAsia="Times New Roman" w:cs="Times New Roman"/>
                                <w:b/>
                                <w:bCs/>
                                <w:color w:val="FFFFFF" w:themeColor="background1"/>
                                <w:sz w:val="22"/>
                                <w:szCs w:val="22"/>
                                <w:lang w:eastAsia="nl-NL"/>
                              </w:rPr>
                              <w:t>GFT-</w:t>
                            </w:r>
                            <w:r w:rsidR="00074358" w:rsidRPr="002D7269">
                              <w:rPr>
                                <w:rFonts w:eastAsia="Times New Roman" w:cs="Times New Roman"/>
                                <w:b/>
                                <w:bCs/>
                                <w:color w:val="FFFFFF" w:themeColor="background1"/>
                                <w:sz w:val="22"/>
                                <w:szCs w:val="22"/>
                                <w:lang w:eastAsia="nl-NL"/>
                              </w:rPr>
                              <w:t>verwerkers</w:t>
                            </w:r>
                            <w:r w:rsidR="00074358" w:rsidRPr="002D7269">
                              <w:rPr>
                                <w:rFonts w:eastAsia="Times New Roman" w:cs="Times New Roman"/>
                                <w:color w:val="FFFFFF" w:themeColor="background1"/>
                                <w:sz w:val="22"/>
                                <w:szCs w:val="22"/>
                                <w:lang w:eastAsia="nl-NL"/>
                              </w:rPr>
                              <w:t xml:space="preserve"> </w:t>
                            </w:r>
                            <w:r w:rsidR="00CA1D3F" w:rsidRPr="002D7269">
                              <w:rPr>
                                <w:rFonts w:eastAsia="Times New Roman" w:cs="Times New Roman"/>
                                <w:color w:val="FFFFFF" w:themeColor="background1"/>
                                <w:sz w:val="22"/>
                                <w:szCs w:val="22"/>
                                <w:lang w:eastAsia="nl-NL"/>
                              </w:rPr>
                              <w:t xml:space="preserve">zoals HVC en </w:t>
                            </w:r>
                            <w:proofErr w:type="spellStart"/>
                            <w:r w:rsidR="00CA1D3F" w:rsidRPr="002D7269">
                              <w:rPr>
                                <w:rFonts w:eastAsia="Times New Roman" w:cs="Times New Roman"/>
                                <w:color w:val="FFFFFF" w:themeColor="background1"/>
                                <w:sz w:val="22"/>
                                <w:szCs w:val="22"/>
                                <w:lang w:eastAsia="nl-NL"/>
                              </w:rPr>
                              <w:t>Twence</w:t>
                            </w:r>
                            <w:proofErr w:type="spellEnd"/>
                            <w:r w:rsidR="00CA1D3F" w:rsidRPr="002D7269">
                              <w:rPr>
                                <w:rFonts w:eastAsia="Times New Roman" w:cs="Times New Roman"/>
                                <w:color w:val="FFFFFF" w:themeColor="background1"/>
                                <w:sz w:val="22"/>
                                <w:szCs w:val="22"/>
                                <w:lang w:eastAsia="nl-NL"/>
                              </w:rPr>
                              <w:t xml:space="preserve"> zetten</w:t>
                            </w:r>
                            <w:r w:rsidR="00074358" w:rsidRPr="002D7269">
                              <w:rPr>
                                <w:rFonts w:eastAsia="Times New Roman" w:cs="Times New Roman"/>
                                <w:color w:val="FFFFFF" w:themeColor="background1"/>
                                <w:sz w:val="22"/>
                                <w:szCs w:val="22"/>
                                <w:lang w:eastAsia="nl-NL"/>
                              </w:rPr>
                              <w:t xml:space="preserve"> GFT-afval</w:t>
                            </w:r>
                            <w:r w:rsidR="00CA1D3F" w:rsidRPr="002D7269">
                              <w:rPr>
                                <w:rFonts w:eastAsia="Times New Roman" w:cs="Times New Roman"/>
                                <w:color w:val="FFFFFF" w:themeColor="background1"/>
                                <w:sz w:val="22"/>
                                <w:szCs w:val="22"/>
                                <w:lang w:eastAsia="nl-NL"/>
                              </w:rPr>
                              <w:t xml:space="preserve"> om naar compost en maken zo</w:t>
                            </w:r>
                            <w:r w:rsidR="00074358" w:rsidRPr="002D7269">
                              <w:rPr>
                                <w:rFonts w:eastAsia="Times New Roman" w:cs="Times New Roman"/>
                                <w:color w:val="FFFFFF" w:themeColor="background1"/>
                                <w:sz w:val="22"/>
                                <w:szCs w:val="22"/>
                                <w:lang w:eastAsia="nl-NL"/>
                              </w:rPr>
                              <w:t xml:space="preserve"> nutriënten </w:t>
                            </w:r>
                            <w:r w:rsidR="00CA1D3F" w:rsidRPr="002D7269">
                              <w:rPr>
                                <w:rFonts w:eastAsia="Times New Roman" w:cs="Times New Roman"/>
                                <w:color w:val="FFFFFF" w:themeColor="background1"/>
                                <w:sz w:val="22"/>
                                <w:szCs w:val="22"/>
                                <w:lang w:eastAsia="nl-NL"/>
                              </w:rPr>
                              <w:t xml:space="preserve">weer </w:t>
                            </w:r>
                            <w:r w:rsidR="00074358" w:rsidRPr="002D7269">
                              <w:rPr>
                                <w:rFonts w:eastAsia="Times New Roman" w:cs="Times New Roman"/>
                                <w:color w:val="FFFFFF" w:themeColor="background1"/>
                                <w:sz w:val="22"/>
                                <w:szCs w:val="22"/>
                                <w:lang w:eastAsia="nl-NL"/>
                              </w:rPr>
                              <w:t xml:space="preserve">beschikbaar. </w:t>
                            </w:r>
                          </w:p>
                          <w:p w14:paraId="088538C2" w14:textId="77777777" w:rsidR="00074358" w:rsidRPr="002D7269" w:rsidRDefault="00074358" w:rsidP="00782BCC">
                            <w:pPr>
                              <w:numPr>
                                <w:ilvl w:val="0"/>
                                <w:numId w:val="21"/>
                              </w:numPr>
                              <w:spacing w:before="100" w:beforeAutospacing="1" w:after="100" w:afterAutospacing="1" w:line="240" w:lineRule="auto"/>
                              <w:rPr>
                                <w:rFonts w:eastAsia="Times New Roman" w:cs="Times New Roman"/>
                                <w:color w:val="FFFFFF" w:themeColor="background1"/>
                                <w:sz w:val="22"/>
                                <w:szCs w:val="22"/>
                                <w:lang w:eastAsia="nl-NL"/>
                              </w:rPr>
                            </w:pPr>
                            <w:r w:rsidRPr="002D7269">
                              <w:rPr>
                                <w:rFonts w:eastAsia="Times New Roman" w:cs="Times New Roman"/>
                                <w:b/>
                                <w:bCs/>
                                <w:color w:val="FFFFFF" w:themeColor="background1"/>
                                <w:sz w:val="22"/>
                                <w:szCs w:val="22"/>
                                <w:lang w:eastAsia="nl-NL"/>
                              </w:rPr>
                              <w:t xml:space="preserve">De </w:t>
                            </w:r>
                            <w:proofErr w:type="spellStart"/>
                            <w:r w:rsidRPr="002D7269">
                              <w:rPr>
                                <w:rFonts w:eastAsia="Times New Roman" w:cs="Times New Roman"/>
                                <w:b/>
                                <w:bCs/>
                                <w:color w:val="FFFFFF" w:themeColor="background1"/>
                                <w:sz w:val="22"/>
                                <w:szCs w:val="22"/>
                                <w:lang w:eastAsia="nl-NL"/>
                              </w:rPr>
                              <w:t>agri</w:t>
                            </w:r>
                            <w:proofErr w:type="spellEnd"/>
                            <w:r w:rsidRPr="002D7269">
                              <w:rPr>
                                <w:rFonts w:eastAsia="Times New Roman" w:cs="Times New Roman"/>
                                <w:b/>
                                <w:bCs/>
                                <w:color w:val="FFFFFF" w:themeColor="background1"/>
                                <w:sz w:val="22"/>
                                <w:szCs w:val="22"/>
                                <w:lang w:eastAsia="nl-NL"/>
                              </w:rPr>
                              <w:t>-foodsector</w:t>
                            </w:r>
                            <w:r w:rsidRPr="002D7269">
                              <w:rPr>
                                <w:rFonts w:eastAsia="Times New Roman" w:cs="Times New Roman"/>
                                <w:color w:val="FFFFFF" w:themeColor="background1"/>
                                <w:sz w:val="22"/>
                                <w:szCs w:val="22"/>
                                <w:lang w:eastAsia="nl-NL"/>
                              </w:rPr>
                              <w:t xml:space="preserve"> beschikt over nutriëntrijke reststromen uit bijvoorbeeld proceswater. De sector </w:t>
                            </w:r>
                            <w:proofErr w:type="gramStart"/>
                            <w:r w:rsidRPr="002D7269">
                              <w:rPr>
                                <w:rFonts w:eastAsia="Times New Roman" w:cs="Times New Roman"/>
                                <w:color w:val="FFFFFF" w:themeColor="background1"/>
                                <w:sz w:val="22"/>
                                <w:szCs w:val="22"/>
                                <w:lang w:eastAsia="nl-NL"/>
                              </w:rPr>
                              <w:t>wilt</w:t>
                            </w:r>
                            <w:proofErr w:type="gramEnd"/>
                            <w:r w:rsidRPr="002D7269">
                              <w:rPr>
                                <w:rFonts w:eastAsia="Times New Roman" w:cs="Times New Roman"/>
                                <w:color w:val="FFFFFF" w:themeColor="background1"/>
                                <w:sz w:val="22"/>
                                <w:szCs w:val="22"/>
                                <w:lang w:eastAsia="nl-NL"/>
                              </w:rPr>
                              <w:t xml:space="preserve"> deze toepassen als circulaire meststof en vraagt om medewerking. </w:t>
                            </w:r>
                          </w:p>
                          <w:p w14:paraId="79DF24FE" w14:textId="31140284" w:rsidR="00074358" w:rsidRPr="002D7269" w:rsidRDefault="00074358" w:rsidP="00782BCC">
                            <w:pPr>
                              <w:numPr>
                                <w:ilvl w:val="0"/>
                                <w:numId w:val="21"/>
                              </w:numPr>
                              <w:spacing w:before="100" w:beforeAutospacing="1" w:after="100" w:afterAutospacing="1" w:line="240" w:lineRule="auto"/>
                              <w:rPr>
                                <w:rFonts w:eastAsia="Times New Roman" w:cs="Times New Roman"/>
                                <w:color w:val="FFFFFF" w:themeColor="background1"/>
                                <w:sz w:val="22"/>
                                <w:szCs w:val="22"/>
                                <w:lang w:eastAsia="nl-NL"/>
                              </w:rPr>
                            </w:pPr>
                            <w:r w:rsidRPr="002D7269">
                              <w:rPr>
                                <w:rFonts w:eastAsia="Times New Roman" w:cs="Times New Roman"/>
                                <w:b/>
                                <w:bCs/>
                                <w:color w:val="FFFFFF" w:themeColor="background1"/>
                                <w:sz w:val="22"/>
                                <w:szCs w:val="22"/>
                                <w:lang w:eastAsia="nl-NL"/>
                              </w:rPr>
                              <w:t>De landbouwsector</w:t>
                            </w:r>
                            <w:r w:rsidRPr="002D7269">
                              <w:rPr>
                                <w:rFonts w:eastAsia="Times New Roman" w:cs="Times New Roman"/>
                                <w:color w:val="FFFFFF" w:themeColor="background1"/>
                                <w:sz w:val="22"/>
                                <w:szCs w:val="22"/>
                                <w:lang w:eastAsia="nl-NL"/>
                              </w:rPr>
                              <w:t xml:space="preserve"> is naast afnemer ook producent van meststoffen en </w:t>
                            </w:r>
                            <w:r w:rsidR="00C1378E" w:rsidRPr="002D7269">
                              <w:rPr>
                                <w:rFonts w:eastAsia="Times New Roman" w:cs="Times New Roman"/>
                                <w:color w:val="FFFFFF" w:themeColor="background1"/>
                                <w:sz w:val="22"/>
                                <w:szCs w:val="22"/>
                                <w:lang w:eastAsia="nl-NL"/>
                              </w:rPr>
                              <w:t>boeren kunnen</w:t>
                            </w:r>
                            <w:r w:rsidRPr="002D7269">
                              <w:rPr>
                                <w:rFonts w:eastAsia="Times New Roman" w:cs="Times New Roman"/>
                                <w:color w:val="FFFFFF" w:themeColor="background1"/>
                                <w:sz w:val="22"/>
                                <w:szCs w:val="22"/>
                                <w:lang w:eastAsia="nl-NL"/>
                              </w:rPr>
                              <w:t xml:space="preserve"> als enige kringlopen sluiten door voedsel te maken uit mest- en reststromen. Ze zijn actief betrokken om dit efficiënter en duurzamer te doen </w:t>
                            </w:r>
                            <w:proofErr w:type="gramStart"/>
                            <w:r w:rsidRPr="002D7269">
                              <w:rPr>
                                <w:rFonts w:eastAsia="Times New Roman" w:cs="Times New Roman"/>
                                <w:color w:val="FFFFFF" w:themeColor="background1"/>
                                <w:sz w:val="22"/>
                                <w:szCs w:val="22"/>
                                <w:lang w:eastAsia="nl-NL"/>
                              </w:rPr>
                              <w:t>middels</w:t>
                            </w:r>
                            <w:proofErr w:type="gramEnd"/>
                            <w:r w:rsidRPr="002D7269">
                              <w:rPr>
                                <w:rFonts w:eastAsia="Times New Roman" w:cs="Times New Roman"/>
                                <w:color w:val="FFFFFF" w:themeColor="background1"/>
                                <w:sz w:val="22"/>
                                <w:szCs w:val="22"/>
                                <w:lang w:eastAsia="nl-NL"/>
                              </w:rPr>
                              <w:t xml:space="preserve"> precisiebemesting</w:t>
                            </w:r>
                            <w:r w:rsidR="00C36C99" w:rsidRPr="002D7269">
                              <w:rPr>
                                <w:rFonts w:eastAsia="Times New Roman" w:cs="Times New Roman"/>
                                <w:color w:val="FFFFFF" w:themeColor="background1"/>
                                <w:sz w:val="22"/>
                                <w:szCs w:val="22"/>
                                <w:lang w:eastAsia="nl-NL"/>
                              </w:rPr>
                              <w:t xml:space="preserve"> en door waar kan</w:t>
                            </w:r>
                            <w:r w:rsidR="008D24F1" w:rsidRPr="002D7269">
                              <w:rPr>
                                <w:rFonts w:eastAsia="Times New Roman" w:cs="Times New Roman"/>
                                <w:color w:val="FFFFFF" w:themeColor="background1"/>
                                <w:sz w:val="22"/>
                                <w:szCs w:val="22"/>
                                <w:lang w:eastAsia="nl-NL"/>
                              </w:rPr>
                              <w:t xml:space="preserve"> gebruik</w:t>
                            </w:r>
                            <w:r w:rsidR="007C6460">
                              <w:rPr>
                                <w:rFonts w:eastAsia="Times New Roman" w:cs="Times New Roman"/>
                                <w:color w:val="FFFFFF" w:themeColor="background1"/>
                                <w:sz w:val="22"/>
                                <w:szCs w:val="22"/>
                                <w:lang w:eastAsia="nl-NL"/>
                              </w:rPr>
                              <w:t>t</w:t>
                            </w:r>
                            <w:r w:rsidR="00C36C99" w:rsidRPr="002D7269">
                              <w:rPr>
                                <w:rFonts w:eastAsia="Times New Roman" w:cs="Times New Roman"/>
                                <w:color w:val="FFFFFF" w:themeColor="background1"/>
                                <w:sz w:val="22"/>
                                <w:szCs w:val="22"/>
                                <w:lang w:eastAsia="nl-NL"/>
                              </w:rPr>
                              <w:t xml:space="preserve"> te maken van</w:t>
                            </w:r>
                            <w:r w:rsidRPr="002D7269">
                              <w:rPr>
                                <w:rFonts w:eastAsia="Times New Roman" w:cs="Times New Roman"/>
                                <w:color w:val="FFFFFF" w:themeColor="background1"/>
                                <w:sz w:val="22"/>
                                <w:szCs w:val="22"/>
                                <w:lang w:eastAsia="nl-NL"/>
                              </w:rPr>
                              <w:t xml:space="preserve"> circulaire meststoffen.</w:t>
                            </w:r>
                            <w:r w:rsidR="00483973" w:rsidRPr="002D7269">
                              <w:rPr>
                                <w:rFonts w:eastAsia="Times New Roman" w:cs="Times New Roman"/>
                                <w:color w:val="FFFFFF" w:themeColor="background1"/>
                                <w:sz w:val="22"/>
                                <w:szCs w:val="22"/>
                                <w:lang w:eastAsia="nl-NL"/>
                              </w:rPr>
                              <w:t xml:space="preserve"> </w:t>
                            </w:r>
                          </w:p>
                          <w:p w14:paraId="6CEAE25B" w14:textId="5C70E099" w:rsidR="00BD4720" w:rsidRPr="002D7269" w:rsidRDefault="00BD4720" w:rsidP="00782BCC">
                            <w:pPr>
                              <w:numPr>
                                <w:ilvl w:val="0"/>
                                <w:numId w:val="21"/>
                              </w:numPr>
                              <w:spacing w:before="100" w:beforeAutospacing="1" w:after="100" w:afterAutospacing="1" w:line="240" w:lineRule="auto"/>
                              <w:rPr>
                                <w:rFonts w:eastAsia="Times New Roman" w:cs="Times New Roman"/>
                                <w:color w:val="FFFFFF" w:themeColor="background1"/>
                                <w:sz w:val="22"/>
                                <w:szCs w:val="22"/>
                                <w:lang w:eastAsia="nl-NL"/>
                              </w:rPr>
                            </w:pPr>
                            <w:proofErr w:type="spellStart"/>
                            <w:r w:rsidRPr="002D7269">
                              <w:rPr>
                                <w:rFonts w:eastAsia="Times New Roman" w:cs="Times New Roman"/>
                                <w:b/>
                                <w:bCs/>
                                <w:color w:val="FFFFFF" w:themeColor="background1"/>
                                <w:sz w:val="22"/>
                                <w:szCs w:val="22"/>
                                <w:lang w:eastAsia="nl-NL"/>
                              </w:rPr>
                              <w:t>Mestverwerkende</w:t>
                            </w:r>
                            <w:proofErr w:type="spellEnd"/>
                            <w:r w:rsidRPr="002D7269">
                              <w:rPr>
                                <w:rFonts w:eastAsia="Times New Roman" w:cs="Times New Roman"/>
                                <w:b/>
                                <w:bCs/>
                                <w:color w:val="FFFFFF" w:themeColor="background1"/>
                                <w:sz w:val="22"/>
                                <w:szCs w:val="22"/>
                                <w:lang w:eastAsia="nl-NL"/>
                              </w:rPr>
                              <w:t xml:space="preserve"> </w:t>
                            </w:r>
                            <w:r w:rsidR="007C6460">
                              <w:rPr>
                                <w:rFonts w:eastAsia="Times New Roman" w:cs="Times New Roman"/>
                                <w:b/>
                                <w:bCs/>
                                <w:color w:val="FFFFFF" w:themeColor="background1"/>
                                <w:sz w:val="22"/>
                                <w:szCs w:val="22"/>
                                <w:lang w:eastAsia="nl-NL"/>
                              </w:rPr>
                              <w:t>bedrijven</w:t>
                            </w:r>
                            <w:r w:rsidR="007C3D44" w:rsidRPr="002D7269">
                              <w:rPr>
                                <w:rFonts w:eastAsia="Times New Roman" w:cs="Times New Roman"/>
                                <w:b/>
                                <w:bCs/>
                                <w:color w:val="FFFFFF" w:themeColor="background1"/>
                                <w:sz w:val="22"/>
                                <w:szCs w:val="22"/>
                                <w:lang w:eastAsia="nl-NL"/>
                              </w:rPr>
                              <w:t xml:space="preserve"> </w:t>
                            </w:r>
                            <w:r w:rsidR="007C3D44" w:rsidRPr="002D7269">
                              <w:rPr>
                                <w:rFonts w:eastAsia="Times New Roman" w:cs="Times New Roman"/>
                                <w:color w:val="FFFFFF" w:themeColor="background1"/>
                                <w:sz w:val="22"/>
                                <w:szCs w:val="22"/>
                                <w:lang w:eastAsia="nl-NL"/>
                              </w:rPr>
                              <w:t xml:space="preserve">zoals BMC Moerdijk en </w:t>
                            </w:r>
                            <w:proofErr w:type="spellStart"/>
                            <w:r w:rsidR="007C3D44" w:rsidRPr="002D7269">
                              <w:rPr>
                                <w:rFonts w:eastAsia="Times New Roman" w:cs="Times New Roman"/>
                                <w:color w:val="FFFFFF" w:themeColor="background1"/>
                                <w:sz w:val="22"/>
                                <w:szCs w:val="22"/>
                                <w:lang w:eastAsia="nl-NL"/>
                              </w:rPr>
                              <w:t>Twence</w:t>
                            </w:r>
                            <w:proofErr w:type="spellEnd"/>
                            <w:r w:rsidR="007C3D44" w:rsidRPr="002D7269">
                              <w:rPr>
                                <w:rFonts w:eastAsia="Times New Roman" w:cs="Times New Roman"/>
                                <w:color w:val="FFFFFF" w:themeColor="background1"/>
                                <w:sz w:val="22"/>
                                <w:szCs w:val="22"/>
                                <w:lang w:eastAsia="nl-NL"/>
                              </w:rPr>
                              <w:t xml:space="preserve"> verwerken </w:t>
                            </w:r>
                            <w:r w:rsidR="00C36C99" w:rsidRPr="002D7269">
                              <w:rPr>
                                <w:rFonts w:eastAsia="Times New Roman" w:cs="Times New Roman"/>
                                <w:color w:val="FFFFFF" w:themeColor="background1"/>
                                <w:sz w:val="22"/>
                                <w:szCs w:val="22"/>
                                <w:lang w:eastAsia="nl-NL"/>
                              </w:rPr>
                              <w:t>mest tot meststoffen die beter toepasbaar zijnen winnen ondertussen energie terug.</w:t>
                            </w:r>
                          </w:p>
                          <w:p w14:paraId="009B1F29" w14:textId="0DB834E3" w:rsidR="00074358" w:rsidRPr="002D7269" w:rsidRDefault="00074358" w:rsidP="00782BCC">
                            <w:pPr>
                              <w:numPr>
                                <w:ilvl w:val="0"/>
                                <w:numId w:val="21"/>
                              </w:numPr>
                              <w:spacing w:before="100" w:beforeAutospacing="1" w:after="100" w:afterAutospacing="1" w:line="240" w:lineRule="auto"/>
                              <w:rPr>
                                <w:rFonts w:eastAsia="Times New Roman" w:cs="Times New Roman"/>
                                <w:color w:val="FFFFFF" w:themeColor="background1"/>
                                <w:sz w:val="22"/>
                                <w:szCs w:val="22"/>
                                <w:lang w:eastAsia="nl-NL"/>
                              </w:rPr>
                            </w:pPr>
                            <w:r w:rsidRPr="002D7269">
                              <w:rPr>
                                <w:rFonts w:eastAsia="Times New Roman" w:cs="Times New Roman"/>
                                <w:b/>
                                <w:bCs/>
                                <w:color w:val="FFFFFF" w:themeColor="background1"/>
                                <w:sz w:val="22"/>
                                <w:szCs w:val="22"/>
                                <w:lang w:eastAsia="nl-NL"/>
                              </w:rPr>
                              <w:t>Technologiebedrijven</w:t>
                            </w:r>
                            <w:r w:rsidRPr="002D7269">
                              <w:rPr>
                                <w:rFonts w:eastAsia="Times New Roman" w:cs="Times New Roman"/>
                                <w:color w:val="FFFFFF" w:themeColor="background1"/>
                                <w:sz w:val="22"/>
                                <w:szCs w:val="22"/>
                                <w:lang w:eastAsia="nl-NL"/>
                              </w:rPr>
                              <w:t xml:space="preserve"> zoals </w:t>
                            </w:r>
                            <w:proofErr w:type="spellStart"/>
                            <w:r w:rsidRPr="002D7269">
                              <w:rPr>
                                <w:rFonts w:eastAsia="Times New Roman" w:cs="Times New Roman"/>
                                <w:color w:val="FFFFFF" w:themeColor="background1"/>
                                <w:sz w:val="22"/>
                                <w:szCs w:val="22"/>
                                <w:lang w:eastAsia="nl-NL"/>
                              </w:rPr>
                              <w:t>Colsen</w:t>
                            </w:r>
                            <w:proofErr w:type="spellEnd"/>
                            <w:r w:rsidR="0000265C" w:rsidRPr="002D7269">
                              <w:rPr>
                                <w:rFonts w:eastAsia="Times New Roman" w:cs="Times New Roman"/>
                                <w:color w:val="FFFFFF" w:themeColor="background1"/>
                                <w:sz w:val="22"/>
                                <w:szCs w:val="22"/>
                                <w:lang w:eastAsia="nl-NL"/>
                              </w:rPr>
                              <w:t>,</w:t>
                            </w:r>
                            <w:r w:rsidRPr="002D7269">
                              <w:rPr>
                                <w:rFonts w:eastAsia="Times New Roman" w:cs="Times New Roman"/>
                                <w:color w:val="FFFFFF" w:themeColor="background1"/>
                                <w:sz w:val="22"/>
                                <w:szCs w:val="22"/>
                                <w:lang w:eastAsia="nl-NL"/>
                              </w:rPr>
                              <w:t xml:space="preserve"> ontwikkelen systemen die nutriënten terugwinnen uit mest </w:t>
                            </w:r>
                            <w:proofErr w:type="spellStart"/>
                            <w:r w:rsidR="007C67DA">
                              <w:rPr>
                                <w:rFonts w:eastAsia="Times New Roman" w:cs="Times New Roman"/>
                                <w:color w:val="FFFFFF" w:themeColor="background1"/>
                                <w:sz w:val="22"/>
                                <w:szCs w:val="22"/>
                                <w:lang w:eastAsia="nl-NL"/>
                              </w:rPr>
                              <w:t>è</w:t>
                            </w:r>
                            <w:r w:rsidRPr="002D7269">
                              <w:rPr>
                                <w:rFonts w:eastAsia="Times New Roman" w:cs="Times New Roman"/>
                                <w:color w:val="FFFFFF" w:themeColor="background1"/>
                                <w:sz w:val="22"/>
                                <w:szCs w:val="22"/>
                                <w:lang w:eastAsia="nl-NL"/>
                              </w:rPr>
                              <w:t>n</w:t>
                            </w:r>
                            <w:proofErr w:type="spellEnd"/>
                            <w:r w:rsidRPr="002D7269">
                              <w:rPr>
                                <w:rFonts w:eastAsia="Times New Roman" w:cs="Times New Roman"/>
                                <w:color w:val="FFFFFF" w:themeColor="background1"/>
                                <w:sz w:val="22"/>
                                <w:szCs w:val="22"/>
                                <w:lang w:eastAsia="nl-NL"/>
                              </w:rPr>
                              <w:t xml:space="preserve"> waterzuiveringsinstallaties.</w:t>
                            </w:r>
                          </w:p>
                          <w:p w14:paraId="5A07172C" w14:textId="3FA279C1" w:rsidR="00074358" w:rsidRPr="002D7269" w:rsidRDefault="00074358" w:rsidP="00782BCC">
                            <w:pPr>
                              <w:numPr>
                                <w:ilvl w:val="0"/>
                                <w:numId w:val="21"/>
                              </w:numPr>
                              <w:spacing w:line="240" w:lineRule="auto"/>
                              <w:rPr>
                                <w:rFonts w:eastAsia="Times New Roman"/>
                                <w:color w:val="FFFFFF" w:themeColor="background1"/>
                                <w:sz w:val="22"/>
                                <w:szCs w:val="22"/>
                              </w:rPr>
                            </w:pPr>
                            <w:r w:rsidRPr="002D7269">
                              <w:rPr>
                                <w:rFonts w:eastAsia="Times New Roman"/>
                                <w:b/>
                                <w:bCs/>
                                <w:color w:val="FFFFFF" w:themeColor="background1"/>
                                <w:sz w:val="22"/>
                                <w:szCs w:val="22"/>
                              </w:rPr>
                              <w:t>Onderzoek</w:t>
                            </w:r>
                            <w:r w:rsidR="00353977" w:rsidRPr="002D7269">
                              <w:rPr>
                                <w:rFonts w:eastAsia="Times New Roman"/>
                                <w:b/>
                                <w:bCs/>
                                <w:color w:val="FFFFFF" w:themeColor="background1"/>
                                <w:sz w:val="22"/>
                                <w:szCs w:val="22"/>
                              </w:rPr>
                              <w:t>ers</w:t>
                            </w:r>
                            <w:r w:rsidRPr="002D7269">
                              <w:rPr>
                                <w:rFonts w:eastAsia="Times New Roman"/>
                                <w:b/>
                                <w:bCs/>
                                <w:color w:val="FFFFFF" w:themeColor="background1"/>
                                <w:sz w:val="22"/>
                                <w:szCs w:val="22"/>
                              </w:rPr>
                              <w:t xml:space="preserve"> </w:t>
                            </w:r>
                            <w:r w:rsidR="00E5078A" w:rsidRPr="002D7269">
                              <w:rPr>
                                <w:rFonts w:eastAsia="Times New Roman"/>
                                <w:color w:val="FFFFFF" w:themeColor="background1"/>
                                <w:sz w:val="22"/>
                                <w:szCs w:val="22"/>
                              </w:rPr>
                              <w:t>van in</w:t>
                            </w:r>
                            <w:r w:rsidR="007C67DA">
                              <w:rPr>
                                <w:rFonts w:eastAsia="Times New Roman"/>
                                <w:color w:val="FFFFFF" w:themeColor="background1"/>
                                <w:sz w:val="22"/>
                                <w:szCs w:val="22"/>
                              </w:rPr>
                              <w:t>s</w:t>
                            </w:r>
                            <w:r w:rsidR="00E5078A" w:rsidRPr="002D7269">
                              <w:rPr>
                                <w:rFonts w:eastAsia="Times New Roman"/>
                                <w:color w:val="FFFFFF" w:themeColor="background1"/>
                                <w:sz w:val="22"/>
                                <w:szCs w:val="22"/>
                              </w:rPr>
                              <w:t>tituten en bureaus zoals</w:t>
                            </w:r>
                            <w:r w:rsidRPr="002D7269">
                              <w:rPr>
                                <w:rFonts w:eastAsia="Times New Roman"/>
                                <w:color w:val="FFFFFF" w:themeColor="background1"/>
                                <w:sz w:val="22"/>
                                <w:szCs w:val="22"/>
                              </w:rPr>
                              <w:t xml:space="preserve"> W</w:t>
                            </w:r>
                            <w:r w:rsidR="00E105E3">
                              <w:rPr>
                                <w:rFonts w:eastAsia="Times New Roman"/>
                                <w:color w:val="FFFFFF" w:themeColor="background1"/>
                                <w:sz w:val="22"/>
                                <w:szCs w:val="22"/>
                              </w:rPr>
                              <w:t>U</w:t>
                            </w:r>
                            <w:r w:rsidRPr="002D7269">
                              <w:rPr>
                                <w:rFonts w:eastAsia="Times New Roman"/>
                                <w:color w:val="FFFFFF" w:themeColor="background1"/>
                                <w:sz w:val="22"/>
                                <w:szCs w:val="22"/>
                              </w:rPr>
                              <w:t>R</w:t>
                            </w:r>
                            <w:r w:rsidR="00C1378E" w:rsidRPr="002D7269">
                              <w:rPr>
                                <w:rFonts w:eastAsia="Times New Roman"/>
                                <w:color w:val="FFFFFF" w:themeColor="background1"/>
                                <w:sz w:val="22"/>
                                <w:szCs w:val="22"/>
                              </w:rPr>
                              <w:t>,</w:t>
                            </w:r>
                            <w:r w:rsidRPr="002D7269">
                              <w:rPr>
                                <w:rFonts w:eastAsia="Times New Roman"/>
                                <w:color w:val="FFFFFF" w:themeColor="background1"/>
                                <w:sz w:val="22"/>
                                <w:szCs w:val="22"/>
                              </w:rPr>
                              <w:t xml:space="preserve"> KWR</w:t>
                            </w:r>
                            <w:r w:rsidR="00C1378E" w:rsidRPr="002D7269">
                              <w:rPr>
                                <w:rFonts w:eastAsia="Times New Roman"/>
                                <w:color w:val="FFFFFF" w:themeColor="background1"/>
                                <w:sz w:val="22"/>
                                <w:szCs w:val="22"/>
                              </w:rPr>
                              <w:t xml:space="preserve"> en </w:t>
                            </w:r>
                            <w:proofErr w:type="spellStart"/>
                            <w:r w:rsidR="00C1378E" w:rsidRPr="002D7269">
                              <w:rPr>
                                <w:rFonts w:eastAsia="Times New Roman"/>
                                <w:color w:val="FFFFFF" w:themeColor="background1"/>
                                <w:sz w:val="22"/>
                                <w:szCs w:val="22"/>
                              </w:rPr>
                              <w:t>LeAF</w:t>
                            </w:r>
                            <w:proofErr w:type="spellEnd"/>
                            <w:r w:rsidRPr="002D7269">
                              <w:rPr>
                                <w:rFonts w:eastAsia="Times New Roman"/>
                                <w:color w:val="FFFFFF" w:themeColor="background1"/>
                                <w:sz w:val="22"/>
                                <w:szCs w:val="22"/>
                              </w:rPr>
                              <w:t xml:space="preserve"> ontwikkelen en monitoren nieuwe technieken om nutriënten terug te winnen, brengen behoeften, kansen en knelpunten in kaart en ontwikkelen een beoordelingskader voor veilig gebruik van circulaire meststoffen.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0B54C" id="_x0000_t202" coordsize="21600,21600" o:spt="202" path="m,l,21600r21600,l21600,xe">
                <v:stroke joinstyle="miter"/>
                <v:path gradientshapeok="t" o:connecttype="rect"/>
              </v:shapetype>
              <v:shape id="Text Box 2" o:spid="_x0000_s1026" type="#_x0000_t202" style="position:absolute;margin-left:0;margin-top:25.2pt;width:465.6pt;height:373.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" fillcolor="#2e9aa0" stroked="f">
                <v:textbox>
                  <w:txbxContent>
                    <w:p w14:paraId="6B39BD0F" w14:textId="000E8502" w:rsidR="003C7FA4" w:rsidRPr="002D7269" w:rsidRDefault="00074358" w:rsidP="00DB37E1">
                      <w:pPr>
                        <w:spacing w:before="100" w:beforeAutospacing="1" w:after="240" w:line="240" w:lineRule="auto"/>
                        <w:rPr>
                          <w:rFonts w:eastAsia="Times New Roman" w:cs="Times New Roman"/>
                          <w:b/>
                          <w:bCs/>
                          <w:color w:val="FFFFFF" w:themeColor="background1"/>
                          <w:sz w:val="22"/>
                          <w:szCs w:val="22"/>
                          <w:lang w:eastAsia="nl-NL"/>
                        </w:rPr>
                      </w:pPr>
                      <w:r w:rsidRPr="002D7269">
                        <w:rPr>
                          <w:rFonts w:eastAsia="Times New Roman" w:cs="Times New Roman"/>
                          <w:b/>
                          <w:bCs/>
                          <w:color w:val="FFFFFF" w:themeColor="background1"/>
                          <w:sz w:val="22"/>
                          <w:szCs w:val="22"/>
                          <w:lang w:eastAsia="nl-NL"/>
                        </w:rPr>
                        <w:t xml:space="preserve">Kringloopsluiting in de praktijk – </w:t>
                      </w:r>
                      <w:r w:rsidR="00027D3F">
                        <w:rPr>
                          <w:rFonts w:eastAsia="Times New Roman" w:cs="Times New Roman"/>
                          <w:b/>
                          <w:bCs/>
                          <w:color w:val="FFFFFF" w:themeColor="background1"/>
                          <w:sz w:val="22"/>
                          <w:szCs w:val="22"/>
                          <w:lang w:eastAsia="nl-NL"/>
                        </w:rPr>
                        <w:t>v</w:t>
                      </w:r>
                      <w:r w:rsidRPr="002D7269">
                        <w:rPr>
                          <w:rFonts w:eastAsia="Times New Roman" w:cs="Times New Roman"/>
                          <w:b/>
                          <w:bCs/>
                          <w:color w:val="FFFFFF" w:themeColor="background1"/>
                          <w:sz w:val="22"/>
                          <w:szCs w:val="22"/>
                          <w:lang w:eastAsia="nl-NL"/>
                        </w:rPr>
                        <w:t>oorbeelden om op voort te bouwen</w:t>
                      </w:r>
                    </w:p>
                    <w:p w14:paraId="46DB6E7F" w14:textId="481160CA" w:rsidR="00074358" w:rsidRPr="002D7269" w:rsidRDefault="00074358" w:rsidP="00782BCC">
                      <w:pPr>
                        <w:numPr>
                          <w:ilvl w:val="0"/>
                          <w:numId w:val="21"/>
                        </w:numPr>
                        <w:spacing w:after="100" w:afterAutospacing="1" w:line="240" w:lineRule="auto"/>
                        <w:rPr>
                          <w:rFonts w:eastAsia="Times New Roman" w:cs="Times New Roman"/>
                          <w:color w:val="FFFFFF" w:themeColor="background1"/>
                          <w:sz w:val="22"/>
                          <w:szCs w:val="22"/>
                          <w:lang w:eastAsia="nl-NL"/>
                        </w:rPr>
                      </w:pPr>
                      <w:r w:rsidRPr="002D7269">
                        <w:rPr>
                          <w:rFonts w:eastAsia="Times New Roman" w:cs="Times New Roman"/>
                          <w:b/>
                          <w:bCs/>
                          <w:color w:val="FFFFFF" w:themeColor="background1"/>
                          <w:sz w:val="22"/>
                          <w:szCs w:val="22"/>
                          <w:lang w:eastAsia="nl-NL"/>
                        </w:rPr>
                        <w:t>Waterschappen en waterbedrijven</w:t>
                      </w:r>
                      <w:r w:rsidRPr="002D7269">
                        <w:rPr>
                          <w:rFonts w:eastAsia="Times New Roman" w:cs="Times New Roman"/>
                          <w:color w:val="FFFFFF" w:themeColor="background1"/>
                          <w:sz w:val="22"/>
                          <w:szCs w:val="22"/>
                          <w:lang w:eastAsia="nl-NL"/>
                        </w:rPr>
                        <w:t xml:space="preserve"> leveren grote inspanningen om te voldoen aan </w:t>
                      </w:r>
                      <w:r w:rsidR="00E80DFD" w:rsidRPr="002D7269">
                        <w:rPr>
                          <w:rFonts w:eastAsia="Times New Roman" w:cs="Times New Roman"/>
                          <w:color w:val="FFFFFF" w:themeColor="background1"/>
                          <w:sz w:val="22"/>
                          <w:szCs w:val="22"/>
                          <w:lang w:eastAsia="nl-NL"/>
                        </w:rPr>
                        <w:t xml:space="preserve">de eisen van de </w:t>
                      </w:r>
                      <w:r w:rsidRPr="002D7269">
                        <w:rPr>
                          <w:rFonts w:eastAsia="Times New Roman" w:cs="Times New Roman"/>
                          <w:color w:val="FFFFFF" w:themeColor="background1"/>
                          <w:sz w:val="22"/>
                          <w:szCs w:val="22"/>
                          <w:lang w:eastAsia="nl-NL"/>
                        </w:rPr>
                        <w:t xml:space="preserve">Kaderrichtlijn Water en Urban </w:t>
                      </w:r>
                      <w:proofErr w:type="spellStart"/>
                      <w:r w:rsidRPr="002D7269">
                        <w:rPr>
                          <w:rFonts w:eastAsia="Times New Roman" w:cs="Times New Roman"/>
                          <w:color w:val="FFFFFF" w:themeColor="background1"/>
                          <w:sz w:val="22"/>
                          <w:szCs w:val="22"/>
                          <w:lang w:eastAsia="nl-NL"/>
                        </w:rPr>
                        <w:t>Wastewater</w:t>
                      </w:r>
                      <w:proofErr w:type="spellEnd"/>
                      <w:r w:rsidRPr="002D7269">
                        <w:rPr>
                          <w:rFonts w:eastAsia="Times New Roman" w:cs="Times New Roman"/>
                          <w:color w:val="FFFFFF" w:themeColor="background1"/>
                          <w:sz w:val="22"/>
                          <w:szCs w:val="22"/>
                          <w:lang w:eastAsia="nl-NL"/>
                        </w:rPr>
                        <w:t xml:space="preserve"> Treatment Directive.  Hiervoor wordt ook gewerkt aan terugwinning van nutriënten waarvoor </w:t>
                      </w:r>
                      <w:proofErr w:type="spellStart"/>
                      <w:r w:rsidRPr="002D7269">
                        <w:rPr>
                          <w:rFonts w:eastAsia="Times New Roman" w:cs="Times New Roman"/>
                          <w:color w:val="FFFFFF" w:themeColor="background1"/>
                          <w:sz w:val="22"/>
                          <w:szCs w:val="22"/>
                          <w:lang w:eastAsia="nl-NL"/>
                        </w:rPr>
                        <w:t>AquaMinerals</w:t>
                      </w:r>
                      <w:proofErr w:type="spellEnd"/>
                      <w:r w:rsidRPr="002D7269">
                        <w:rPr>
                          <w:rFonts w:eastAsia="Times New Roman" w:cs="Times New Roman"/>
                          <w:color w:val="FFFFFF" w:themeColor="background1"/>
                          <w:sz w:val="22"/>
                          <w:szCs w:val="22"/>
                          <w:lang w:eastAsia="nl-NL"/>
                        </w:rPr>
                        <w:t xml:space="preserve"> een goede afzetmarkt zoekt.</w:t>
                      </w:r>
                    </w:p>
                    <w:p w14:paraId="6B2AEBC1" w14:textId="77777777" w:rsidR="00074358" w:rsidRPr="002D7269" w:rsidRDefault="00074358" w:rsidP="00782BCC">
                      <w:pPr>
                        <w:numPr>
                          <w:ilvl w:val="0"/>
                          <w:numId w:val="21"/>
                        </w:numPr>
                        <w:spacing w:before="100" w:beforeAutospacing="1" w:after="100" w:afterAutospacing="1" w:line="240" w:lineRule="auto"/>
                        <w:rPr>
                          <w:rFonts w:eastAsia="Times New Roman" w:cs="Times New Roman"/>
                          <w:color w:val="FFFFFF" w:themeColor="background1"/>
                          <w:sz w:val="22"/>
                          <w:szCs w:val="22"/>
                          <w:lang w:eastAsia="nl-NL"/>
                        </w:rPr>
                      </w:pPr>
                      <w:r w:rsidRPr="002D7269">
                        <w:rPr>
                          <w:rFonts w:eastAsia="Times New Roman" w:cs="Times New Roman"/>
                          <w:b/>
                          <w:bCs/>
                          <w:color w:val="FFFFFF" w:themeColor="background1"/>
                          <w:sz w:val="22"/>
                          <w:szCs w:val="22"/>
                          <w:lang w:eastAsia="nl-NL"/>
                        </w:rPr>
                        <w:t>Slibverwerkers</w:t>
                      </w:r>
                      <w:r w:rsidRPr="002D7269">
                        <w:rPr>
                          <w:rFonts w:eastAsia="Times New Roman" w:cs="Times New Roman"/>
                          <w:color w:val="FFFFFF" w:themeColor="background1"/>
                          <w:sz w:val="22"/>
                          <w:szCs w:val="22"/>
                          <w:lang w:eastAsia="nl-NL"/>
                        </w:rPr>
                        <w:t xml:space="preserve"> zoals GMB, HVC en SNB investeren in technologieën om nutriënten terug te winnen, en produceren al ammoniumsulfaat en mineraalrijke slibassen.</w:t>
                      </w:r>
                    </w:p>
                    <w:p w14:paraId="68A34159" w14:textId="536C92DC" w:rsidR="00074358" w:rsidRPr="002D7269" w:rsidRDefault="00074358" w:rsidP="00782BCC">
                      <w:pPr>
                        <w:numPr>
                          <w:ilvl w:val="0"/>
                          <w:numId w:val="21"/>
                        </w:numPr>
                        <w:spacing w:before="100" w:beforeAutospacing="1" w:after="100" w:afterAutospacing="1" w:line="240" w:lineRule="auto"/>
                        <w:rPr>
                          <w:rFonts w:eastAsia="Times New Roman" w:cs="Times New Roman"/>
                          <w:color w:val="FFFFFF" w:themeColor="background1"/>
                          <w:sz w:val="22"/>
                          <w:szCs w:val="22"/>
                          <w:lang w:eastAsia="nl-NL"/>
                        </w:rPr>
                      </w:pPr>
                      <w:r w:rsidRPr="002D7269">
                        <w:rPr>
                          <w:rFonts w:eastAsia="Times New Roman" w:cs="Times New Roman"/>
                          <w:b/>
                          <w:bCs/>
                          <w:color w:val="FFFFFF" w:themeColor="background1"/>
                          <w:sz w:val="22"/>
                          <w:szCs w:val="22"/>
                          <w:lang w:eastAsia="nl-NL"/>
                        </w:rPr>
                        <w:t>Kunstmestproducenten</w:t>
                      </w:r>
                      <w:r w:rsidRPr="002D7269">
                        <w:rPr>
                          <w:rFonts w:eastAsia="Times New Roman" w:cs="Times New Roman"/>
                          <w:color w:val="FFFFFF" w:themeColor="background1"/>
                          <w:sz w:val="22"/>
                          <w:szCs w:val="22"/>
                          <w:lang w:eastAsia="nl-NL"/>
                        </w:rPr>
                        <w:t xml:space="preserve"> zoals ICL kunnen deze reststromen al verwerken </w:t>
                      </w:r>
                      <w:r w:rsidR="00E82CBE">
                        <w:rPr>
                          <w:rFonts w:eastAsia="Times New Roman" w:cs="Times New Roman"/>
                          <w:color w:val="FFFFFF" w:themeColor="background1"/>
                          <w:sz w:val="22"/>
                          <w:szCs w:val="22"/>
                          <w:lang w:eastAsia="nl-NL"/>
                        </w:rPr>
                        <w:t>tot</w:t>
                      </w:r>
                      <w:r w:rsidRPr="002D7269">
                        <w:rPr>
                          <w:rFonts w:eastAsia="Times New Roman" w:cs="Times New Roman"/>
                          <w:color w:val="FFFFFF" w:themeColor="background1"/>
                          <w:sz w:val="22"/>
                          <w:szCs w:val="22"/>
                          <w:lang w:eastAsia="nl-NL"/>
                        </w:rPr>
                        <w:t xml:space="preserve"> circulaire meststoffen.</w:t>
                      </w:r>
                    </w:p>
                    <w:p w14:paraId="5A0EE572" w14:textId="475F92B5" w:rsidR="00074358" w:rsidRPr="002D7269" w:rsidRDefault="004C6CD8" w:rsidP="00782BCC">
                      <w:pPr>
                        <w:numPr>
                          <w:ilvl w:val="0"/>
                          <w:numId w:val="21"/>
                        </w:numPr>
                        <w:spacing w:before="100" w:beforeAutospacing="1" w:after="100" w:afterAutospacing="1" w:line="240" w:lineRule="auto"/>
                        <w:rPr>
                          <w:rFonts w:eastAsia="Times New Roman" w:cs="Times New Roman"/>
                          <w:color w:val="FFFFFF" w:themeColor="background1"/>
                          <w:sz w:val="22"/>
                          <w:szCs w:val="22"/>
                          <w:lang w:eastAsia="nl-NL"/>
                        </w:rPr>
                      </w:pPr>
                      <w:r w:rsidRPr="002D7269">
                        <w:rPr>
                          <w:rFonts w:eastAsia="Times New Roman" w:cs="Times New Roman"/>
                          <w:b/>
                          <w:bCs/>
                          <w:color w:val="FFFFFF" w:themeColor="background1"/>
                          <w:sz w:val="22"/>
                          <w:szCs w:val="22"/>
                          <w:lang w:eastAsia="nl-NL"/>
                        </w:rPr>
                        <w:t>GFT-</w:t>
                      </w:r>
                      <w:r w:rsidR="00074358" w:rsidRPr="002D7269">
                        <w:rPr>
                          <w:rFonts w:eastAsia="Times New Roman" w:cs="Times New Roman"/>
                          <w:b/>
                          <w:bCs/>
                          <w:color w:val="FFFFFF" w:themeColor="background1"/>
                          <w:sz w:val="22"/>
                          <w:szCs w:val="22"/>
                          <w:lang w:eastAsia="nl-NL"/>
                        </w:rPr>
                        <w:t>verwerkers</w:t>
                      </w:r>
                      <w:r w:rsidR="00074358" w:rsidRPr="002D7269">
                        <w:rPr>
                          <w:rFonts w:eastAsia="Times New Roman" w:cs="Times New Roman"/>
                          <w:color w:val="FFFFFF" w:themeColor="background1"/>
                          <w:sz w:val="22"/>
                          <w:szCs w:val="22"/>
                          <w:lang w:eastAsia="nl-NL"/>
                        </w:rPr>
                        <w:t xml:space="preserve"> </w:t>
                      </w:r>
                      <w:r w:rsidR="00CA1D3F" w:rsidRPr="002D7269">
                        <w:rPr>
                          <w:rFonts w:eastAsia="Times New Roman" w:cs="Times New Roman"/>
                          <w:color w:val="FFFFFF" w:themeColor="background1"/>
                          <w:sz w:val="22"/>
                          <w:szCs w:val="22"/>
                          <w:lang w:eastAsia="nl-NL"/>
                        </w:rPr>
                        <w:t xml:space="preserve">zoals HVC en </w:t>
                      </w:r>
                      <w:proofErr w:type="spellStart"/>
                      <w:r w:rsidR="00CA1D3F" w:rsidRPr="002D7269">
                        <w:rPr>
                          <w:rFonts w:eastAsia="Times New Roman" w:cs="Times New Roman"/>
                          <w:color w:val="FFFFFF" w:themeColor="background1"/>
                          <w:sz w:val="22"/>
                          <w:szCs w:val="22"/>
                          <w:lang w:eastAsia="nl-NL"/>
                        </w:rPr>
                        <w:t>Twence</w:t>
                      </w:r>
                      <w:proofErr w:type="spellEnd"/>
                      <w:r w:rsidR="00CA1D3F" w:rsidRPr="002D7269">
                        <w:rPr>
                          <w:rFonts w:eastAsia="Times New Roman" w:cs="Times New Roman"/>
                          <w:color w:val="FFFFFF" w:themeColor="background1"/>
                          <w:sz w:val="22"/>
                          <w:szCs w:val="22"/>
                          <w:lang w:eastAsia="nl-NL"/>
                        </w:rPr>
                        <w:t xml:space="preserve"> zetten</w:t>
                      </w:r>
                      <w:r w:rsidR="00074358" w:rsidRPr="002D7269">
                        <w:rPr>
                          <w:rFonts w:eastAsia="Times New Roman" w:cs="Times New Roman"/>
                          <w:color w:val="FFFFFF" w:themeColor="background1"/>
                          <w:sz w:val="22"/>
                          <w:szCs w:val="22"/>
                          <w:lang w:eastAsia="nl-NL"/>
                        </w:rPr>
                        <w:t xml:space="preserve"> GFT-afval</w:t>
                      </w:r>
                      <w:r w:rsidR="00CA1D3F" w:rsidRPr="002D7269">
                        <w:rPr>
                          <w:rFonts w:eastAsia="Times New Roman" w:cs="Times New Roman"/>
                          <w:color w:val="FFFFFF" w:themeColor="background1"/>
                          <w:sz w:val="22"/>
                          <w:szCs w:val="22"/>
                          <w:lang w:eastAsia="nl-NL"/>
                        </w:rPr>
                        <w:t xml:space="preserve"> om naar compost en maken zo</w:t>
                      </w:r>
                      <w:r w:rsidR="00074358" w:rsidRPr="002D7269">
                        <w:rPr>
                          <w:rFonts w:eastAsia="Times New Roman" w:cs="Times New Roman"/>
                          <w:color w:val="FFFFFF" w:themeColor="background1"/>
                          <w:sz w:val="22"/>
                          <w:szCs w:val="22"/>
                          <w:lang w:eastAsia="nl-NL"/>
                        </w:rPr>
                        <w:t xml:space="preserve"> nutriënten </w:t>
                      </w:r>
                      <w:r w:rsidR="00CA1D3F" w:rsidRPr="002D7269">
                        <w:rPr>
                          <w:rFonts w:eastAsia="Times New Roman" w:cs="Times New Roman"/>
                          <w:color w:val="FFFFFF" w:themeColor="background1"/>
                          <w:sz w:val="22"/>
                          <w:szCs w:val="22"/>
                          <w:lang w:eastAsia="nl-NL"/>
                        </w:rPr>
                        <w:t xml:space="preserve">weer </w:t>
                      </w:r>
                      <w:r w:rsidR="00074358" w:rsidRPr="002D7269">
                        <w:rPr>
                          <w:rFonts w:eastAsia="Times New Roman" w:cs="Times New Roman"/>
                          <w:color w:val="FFFFFF" w:themeColor="background1"/>
                          <w:sz w:val="22"/>
                          <w:szCs w:val="22"/>
                          <w:lang w:eastAsia="nl-NL"/>
                        </w:rPr>
                        <w:t xml:space="preserve">beschikbaar. </w:t>
                      </w:r>
                    </w:p>
                    <w:p w14:paraId="088538C2" w14:textId="77777777" w:rsidR="00074358" w:rsidRPr="002D7269" w:rsidRDefault="00074358" w:rsidP="00782BCC">
                      <w:pPr>
                        <w:numPr>
                          <w:ilvl w:val="0"/>
                          <w:numId w:val="21"/>
                        </w:numPr>
                        <w:spacing w:before="100" w:beforeAutospacing="1" w:after="100" w:afterAutospacing="1" w:line="240" w:lineRule="auto"/>
                        <w:rPr>
                          <w:rFonts w:eastAsia="Times New Roman" w:cs="Times New Roman"/>
                          <w:color w:val="FFFFFF" w:themeColor="background1"/>
                          <w:sz w:val="22"/>
                          <w:szCs w:val="22"/>
                          <w:lang w:eastAsia="nl-NL"/>
                        </w:rPr>
                      </w:pPr>
                      <w:r w:rsidRPr="002D7269">
                        <w:rPr>
                          <w:rFonts w:eastAsia="Times New Roman" w:cs="Times New Roman"/>
                          <w:b/>
                          <w:bCs/>
                          <w:color w:val="FFFFFF" w:themeColor="background1"/>
                          <w:sz w:val="22"/>
                          <w:szCs w:val="22"/>
                          <w:lang w:eastAsia="nl-NL"/>
                        </w:rPr>
                        <w:t xml:space="preserve">De </w:t>
                      </w:r>
                      <w:proofErr w:type="spellStart"/>
                      <w:r w:rsidRPr="002D7269">
                        <w:rPr>
                          <w:rFonts w:eastAsia="Times New Roman" w:cs="Times New Roman"/>
                          <w:b/>
                          <w:bCs/>
                          <w:color w:val="FFFFFF" w:themeColor="background1"/>
                          <w:sz w:val="22"/>
                          <w:szCs w:val="22"/>
                          <w:lang w:eastAsia="nl-NL"/>
                        </w:rPr>
                        <w:t>agri</w:t>
                      </w:r>
                      <w:proofErr w:type="spellEnd"/>
                      <w:r w:rsidRPr="002D7269">
                        <w:rPr>
                          <w:rFonts w:eastAsia="Times New Roman" w:cs="Times New Roman"/>
                          <w:b/>
                          <w:bCs/>
                          <w:color w:val="FFFFFF" w:themeColor="background1"/>
                          <w:sz w:val="22"/>
                          <w:szCs w:val="22"/>
                          <w:lang w:eastAsia="nl-NL"/>
                        </w:rPr>
                        <w:t>-foodsector</w:t>
                      </w:r>
                      <w:r w:rsidRPr="002D7269">
                        <w:rPr>
                          <w:rFonts w:eastAsia="Times New Roman" w:cs="Times New Roman"/>
                          <w:color w:val="FFFFFF" w:themeColor="background1"/>
                          <w:sz w:val="22"/>
                          <w:szCs w:val="22"/>
                          <w:lang w:eastAsia="nl-NL"/>
                        </w:rPr>
                        <w:t xml:space="preserve"> beschikt over nutriëntrijke reststromen uit bijvoorbeeld proceswater. De sector </w:t>
                      </w:r>
                      <w:proofErr w:type="gramStart"/>
                      <w:r w:rsidRPr="002D7269">
                        <w:rPr>
                          <w:rFonts w:eastAsia="Times New Roman" w:cs="Times New Roman"/>
                          <w:color w:val="FFFFFF" w:themeColor="background1"/>
                          <w:sz w:val="22"/>
                          <w:szCs w:val="22"/>
                          <w:lang w:eastAsia="nl-NL"/>
                        </w:rPr>
                        <w:t>wilt</w:t>
                      </w:r>
                      <w:proofErr w:type="gramEnd"/>
                      <w:r w:rsidRPr="002D7269">
                        <w:rPr>
                          <w:rFonts w:eastAsia="Times New Roman" w:cs="Times New Roman"/>
                          <w:color w:val="FFFFFF" w:themeColor="background1"/>
                          <w:sz w:val="22"/>
                          <w:szCs w:val="22"/>
                          <w:lang w:eastAsia="nl-NL"/>
                        </w:rPr>
                        <w:t xml:space="preserve"> deze toepassen als circulaire meststof en vraagt om medewerking. </w:t>
                      </w:r>
                    </w:p>
                    <w:p w14:paraId="79DF24FE" w14:textId="31140284" w:rsidR="00074358" w:rsidRPr="002D7269" w:rsidRDefault="00074358" w:rsidP="00782BCC">
                      <w:pPr>
                        <w:numPr>
                          <w:ilvl w:val="0"/>
                          <w:numId w:val="21"/>
                        </w:numPr>
                        <w:spacing w:before="100" w:beforeAutospacing="1" w:after="100" w:afterAutospacing="1" w:line="240" w:lineRule="auto"/>
                        <w:rPr>
                          <w:rFonts w:eastAsia="Times New Roman" w:cs="Times New Roman"/>
                          <w:color w:val="FFFFFF" w:themeColor="background1"/>
                          <w:sz w:val="22"/>
                          <w:szCs w:val="22"/>
                          <w:lang w:eastAsia="nl-NL"/>
                        </w:rPr>
                      </w:pPr>
                      <w:r w:rsidRPr="002D7269">
                        <w:rPr>
                          <w:rFonts w:eastAsia="Times New Roman" w:cs="Times New Roman"/>
                          <w:b/>
                          <w:bCs/>
                          <w:color w:val="FFFFFF" w:themeColor="background1"/>
                          <w:sz w:val="22"/>
                          <w:szCs w:val="22"/>
                          <w:lang w:eastAsia="nl-NL"/>
                        </w:rPr>
                        <w:t>De landbouwsector</w:t>
                      </w:r>
                      <w:r w:rsidRPr="002D7269">
                        <w:rPr>
                          <w:rFonts w:eastAsia="Times New Roman" w:cs="Times New Roman"/>
                          <w:color w:val="FFFFFF" w:themeColor="background1"/>
                          <w:sz w:val="22"/>
                          <w:szCs w:val="22"/>
                          <w:lang w:eastAsia="nl-NL"/>
                        </w:rPr>
                        <w:t xml:space="preserve"> is naast afnemer ook producent van meststoffen en </w:t>
                      </w:r>
                      <w:r w:rsidR="00C1378E" w:rsidRPr="002D7269">
                        <w:rPr>
                          <w:rFonts w:eastAsia="Times New Roman" w:cs="Times New Roman"/>
                          <w:color w:val="FFFFFF" w:themeColor="background1"/>
                          <w:sz w:val="22"/>
                          <w:szCs w:val="22"/>
                          <w:lang w:eastAsia="nl-NL"/>
                        </w:rPr>
                        <w:t>boeren kunnen</w:t>
                      </w:r>
                      <w:r w:rsidRPr="002D7269">
                        <w:rPr>
                          <w:rFonts w:eastAsia="Times New Roman" w:cs="Times New Roman"/>
                          <w:color w:val="FFFFFF" w:themeColor="background1"/>
                          <w:sz w:val="22"/>
                          <w:szCs w:val="22"/>
                          <w:lang w:eastAsia="nl-NL"/>
                        </w:rPr>
                        <w:t xml:space="preserve"> als enige kringlopen sluiten door voedsel te maken uit mest- en reststromen. Ze zijn actief betrokken om dit efficiënter en duurzamer te doen </w:t>
                      </w:r>
                      <w:proofErr w:type="gramStart"/>
                      <w:r w:rsidRPr="002D7269">
                        <w:rPr>
                          <w:rFonts w:eastAsia="Times New Roman" w:cs="Times New Roman"/>
                          <w:color w:val="FFFFFF" w:themeColor="background1"/>
                          <w:sz w:val="22"/>
                          <w:szCs w:val="22"/>
                          <w:lang w:eastAsia="nl-NL"/>
                        </w:rPr>
                        <w:t>middels</w:t>
                      </w:r>
                      <w:proofErr w:type="gramEnd"/>
                      <w:r w:rsidRPr="002D7269">
                        <w:rPr>
                          <w:rFonts w:eastAsia="Times New Roman" w:cs="Times New Roman"/>
                          <w:color w:val="FFFFFF" w:themeColor="background1"/>
                          <w:sz w:val="22"/>
                          <w:szCs w:val="22"/>
                          <w:lang w:eastAsia="nl-NL"/>
                        </w:rPr>
                        <w:t xml:space="preserve"> precisiebemesting</w:t>
                      </w:r>
                      <w:r w:rsidR="00C36C99" w:rsidRPr="002D7269">
                        <w:rPr>
                          <w:rFonts w:eastAsia="Times New Roman" w:cs="Times New Roman"/>
                          <w:color w:val="FFFFFF" w:themeColor="background1"/>
                          <w:sz w:val="22"/>
                          <w:szCs w:val="22"/>
                          <w:lang w:eastAsia="nl-NL"/>
                        </w:rPr>
                        <w:t xml:space="preserve"> en door waar kan</w:t>
                      </w:r>
                      <w:r w:rsidR="008D24F1" w:rsidRPr="002D7269">
                        <w:rPr>
                          <w:rFonts w:eastAsia="Times New Roman" w:cs="Times New Roman"/>
                          <w:color w:val="FFFFFF" w:themeColor="background1"/>
                          <w:sz w:val="22"/>
                          <w:szCs w:val="22"/>
                          <w:lang w:eastAsia="nl-NL"/>
                        </w:rPr>
                        <w:t xml:space="preserve"> gebruik</w:t>
                      </w:r>
                      <w:r w:rsidR="007C6460">
                        <w:rPr>
                          <w:rFonts w:eastAsia="Times New Roman" w:cs="Times New Roman"/>
                          <w:color w:val="FFFFFF" w:themeColor="background1"/>
                          <w:sz w:val="22"/>
                          <w:szCs w:val="22"/>
                          <w:lang w:eastAsia="nl-NL"/>
                        </w:rPr>
                        <w:t>t</w:t>
                      </w:r>
                      <w:r w:rsidR="00C36C99" w:rsidRPr="002D7269">
                        <w:rPr>
                          <w:rFonts w:eastAsia="Times New Roman" w:cs="Times New Roman"/>
                          <w:color w:val="FFFFFF" w:themeColor="background1"/>
                          <w:sz w:val="22"/>
                          <w:szCs w:val="22"/>
                          <w:lang w:eastAsia="nl-NL"/>
                        </w:rPr>
                        <w:t xml:space="preserve"> te maken van</w:t>
                      </w:r>
                      <w:r w:rsidRPr="002D7269">
                        <w:rPr>
                          <w:rFonts w:eastAsia="Times New Roman" w:cs="Times New Roman"/>
                          <w:color w:val="FFFFFF" w:themeColor="background1"/>
                          <w:sz w:val="22"/>
                          <w:szCs w:val="22"/>
                          <w:lang w:eastAsia="nl-NL"/>
                        </w:rPr>
                        <w:t xml:space="preserve"> circulaire meststoffen.</w:t>
                      </w:r>
                      <w:r w:rsidR="00483973" w:rsidRPr="002D7269">
                        <w:rPr>
                          <w:rFonts w:eastAsia="Times New Roman" w:cs="Times New Roman"/>
                          <w:color w:val="FFFFFF" w:themeColor="background1"/>
                          <w:sz w:val="22"/>
                          <w:szCs w:val="22"/>
                          <w:lang w:eastAsia="nl-NL"/>
                        </w:rPr>
                        <w:t xml:space="preserve"> </w:t>
                      </w:r>
                    </w:p>
                    <w:p w14:paraId="6CEAE25B" w14:textId="5C70E099" w:rsidR="00BD4720" w:rsidRPr="002D7269" w:rsidRDefault="00BD4720" w:rsidP="00782BCC">
                      <w:pPr>
                        <w:numPr>
                          <w:ilvl w:val="0"/>
                          <w:numId w:val="21"/>
                        </w:numPr>
                        <w:spacing w:before="100" w:beforeAutospacing="1" w:after="100" w:afterAutospacing="1" w:line="240" w:lineRule="auto"/>
                        <w:rPr>
                          <w:rFonts w:eastAsia="Times New Roman" w:cs="Times New Roman"/>
                          <w:color w:val="FFFFFF" w:themeColor="background1"/>
                          <w:sz w:val="22"/>
                          <w:szCs w:val="22"/>
                          <w:lang w:eastAsia="nl-NL"/>
                        </w:rPr>
                      </w:pPr>
                      <w:proofErr w:type="spellStart"/>
                      <w:r w:rsidRPr="002D7269">
                        <w:rPr>
                          <w:rFonts w:eastAsia="Times New Roman" w:cs="Times New Roman"/>
                          <w:b/>
                          <w:bCs/>
                          <w:color w:val="FFFFFF" w:themeColor="background1"/>
                          <w:sz w:val="22"/>
                          <w:szCs w:val="22"/>
                          <w:lang w:eastAsia="nl-NL"/>
                        </w:rPr>
                        <w:t>Mestverwerkende</w:t>
                      </w:r>
                      <w:proofErr w:type="spellEnd"/>
                      <w:r w:rsidRPr="002D7269">
                        <w:rPr>
                          <w:rFonts w:eastAsia="Times New Roman" w:cs="Times New Roman"/>
                          <w:b/>
                          <w:bCs/>
                          <w:color w:val="FFFFFF" w:themeColor="background1"/>
                          <w:sz w:val="22"/>
                          <w:szCs w:val="22"/>
                          <w:lang w:eastAsia="nl-NL"/>
                        </w:rPr>
                        <w:t xml:space="preserve"> </w:t>
                      </w:r>
                      <w:r w:rsidR="007C6460">
                        <w:rPr>
                          <w:rFonts w:eastAsia="Times New Roman" w:cs="Times New Roman"/>
                          <w:b/>
                          <w:bCs/>
                          <w:color w:val="FFFFFF" w:themeColor="background1"/>
                          <w:sz w:val="22"/>
                          <w:szCs w:val="22"/>
                          <w:lang w:eastAsia="nl-NL"/>
                        </w:rPr>
                        <w:t>bedrijven</w:t>
                      </w:r>
                      <w:r w:rsidR="007C3D44" w:rsidRPr="002D7269">
                        <w:rPr>
                          <w:rFonts w:eastAsia="Times New Roman" w:cs="Times New Roman"/>
                          <w:b/>
                          <w:bCs/>
                          <w:color w:val="FFFFFF" w:themeColor="background1"/>
                          <w:sz w:val="22"/>
                          <w:szCs w:val="22"/>
                          <w:lang w:eastAsia="nl-NL"/>
                        </w:rPr>
                        <w:t xml:space="preserve"> </w:t>
                      </w:r>
                      <w:r w:rsidR="007C3D44" w:rsidRPr="002D7269">
                        <w:rPr>
                          <w:rFonts w:eastAsia="Times New Roman" w:cs="Times New Roman"/>
                          <w:color w:val="FFFFFF" w:themeColor="background1"/>
                          <w:sz w:val="22"/>
                          <w:szCs w:val="22"/>
                          <w:lang w:eastAsia="nl-NL"/>
                        </w:rPr>
                        <w:t xml:space="preserve">zoals BMC Moerdijk en </w:t>
                      </w:r>
                      <w:proofErr w:type="spellStart"/>
                      <w:r w:rsidR="007C3D44" w:rsidRPr="002D7269">
                        <w:rPr>
                          <w:rFonts w:eastAsia="Times New Roman" w:cs="Times New Roman"/>
                          <w:color w:val="FFFFFF" w:themeColor="background1"/>
                          <w:sz w:val="22"/>
                          <w:szCs w:val="22"/>
                          <w:lang w:eastAsia="nl-NL"/>
                        </w:rPr>
                        <w:t>Twence</w:t>
                      </w:r>
                      <w:proofErr w:type="spellEnd"/>
                      <w:r w:rsidR="007C3D44" w:rsidRPr="002D7269">
                        <w:rPr>
                          <w:rFonts w:eastAsia="Times New Roman" w:cs="Times New Roman"/>
                          <w:color w:val="FFFFFF" w:themeColor="background1"/>
                          <w:sz w:val="22"/>
                          <w:szCs w:val="22"/>
                          <w:lang w:eastAsia="nl-NL"/>
                        </w:rPr>
                        <w:t xml:space="preserve"> verwerken </w:t>
                      </w:r>
                      <w:r w:rsidR="00C36C99" w:rsidRPr="002D7269">
                        <w:rPr>
                          <w:rFonts w:eastAsia="Times New Roman" w:cs="Times New Roman"/>
                          <w:color w:val="FFFFFF" w:themeColor="background1"/>
                          <w:sz w:val="22"/>
                          <w:szCs w:val="22"/>
                          <w:lang w:eastAsia="nl-NL"/>
                        </w:rPr>
                        <w:t>mest tot meststoffen die beter toepasbaar zijnen winnen ondertussen energie terug.</w:t>
                      </w:r>
                    </w:p>
                    <w:p w14:paraId="009B1F29" w14:textId="0DB834E3" w:rsidR="00074358" w:rsidRPr="002D7269" w:rsidRDefault="00074358" w:rsidP="00782BCC">
                      <w:pPr>
                        <w:numPr>
                          <w:ilvl w:val="0"/>
                          <w:numId w:val="21"/>
                        </w:numPr>
                        <w:spacing w:before="100" w:beforeAutospacing="1" w:after="100" w:afterAutospacing="1" w:line="240" w:lineRule="auto"/>
                        <w:rPr>
                          <w:rFonts w:eastAsia="Times New Roman" w:cs="Times New Roman"/>
                          <w:color w:val="FFFFFF" w:themeColor="background1"/>
                          <w:sz w:val="22"/>
                          <w:szCs w:val="22"/>
                          <w:lang w:eastAsia="nl-NL"/>
                        </w:rPr>
                      </w:pPr>
                      <w:r w:rsidRPr="002D7269">
                        <w:rPr>
                          <w:rFonts w:eastAsia="Times New Roman" w:cs="Times New Roman"/>
                          <w:b/>
                          <w:bCs/>
                          <w:color w:val="FFFFFF" w:themeColor="background1"/>
                          <w:sz w:val="22"/>
                          <w:szCs w:val="22"/>
                          <w:lang w:eastAsia="nl-NL"/>
                        </w:rPr>
                        <w:t>Technologiebedrijven</w:t>
                      </w:r>
                      <w:r w:rsidRPr="002D7269">
                        <w:rPr>
                          <w:rFonts w:eastAsia="Times New Roman" w:cs="Times New Roman"/>
                          <w:color w:val="FFFFFF" w:themeColor="background1"/>
                          <w:sz w:val="22"/>
                          <w:szCs w:val="22"/>
                          <w:lang w:eastAsia="nl-NL"/>
                        </w:rPr>
                        <w:t xml:space="preserve"> zoals </w:t>
                      </w:r>
                      <w:proofErr w:type="spellStart"/>
                      <w:r w:rsidRPr="002D7269">
                        <w:rPr>
                          <w:rFonts w:eastAsia="Times New Roman" w:cs="Times New Roman"/>
                          <w:color w:val="FFFFFF" w:themeColor="background1"/>
                          <w:sz w:val="22"/>
                          <w:szCs w:val="22"/>
                          <w:lang w:eastAsia="nl-NL"/>
                        </w:rPr>
                        <w:t>Colsen</w:t>
                      </w:r>
                      <w:proofErr w:type="spellEnd"/>
                      <w:r w:rsidR="0000265C" w:rsidRPr="002D7269">
                        <w:rPr>
                          <w:rFonts w:eastAsia="Times New Roman" w:cs="Times New Roman"/>
                          <w:color w:val="FFFFFF" w:themeColor="background1"/>
                          <w:sz w:val="22"/>
                          <w:szCs w:val="22"/>
                          <w:lang w:eastAsia="nl-NL"/>
                        </w:rPr>
                        <w:t>,</w:t>
                      </w:r>
                      <w:r w:rsidRPr="002D7269">
                        <w:rPr>
                          <w:rFonts w:eastAsia="Times New Roman" w:cs="Times New Roman"/>
                          <w:color w:val="FFFFFF" w:themeColor="background1"/>
                          <w:sz w:val="22"/>
                          <w:szCs w:val="22"/>
                          <w:lang w:eastAsia="nl-NL"/>
                        </w:rPr>
                        <w:t xml:space="preserve"> ontwikkelen systemen die nutriënten terugwinnen uit mest </w:t>
                      </w:r>
                      <w:proofErr w:type="spellStart"/>
                      <w:r w:rsidR="007C67DA">
                        <w:rPr>
                          <w:rFonts w:eastAsia="Times New Roman" w:cs="Times New Roman"/>
                          <w:color w:val="FFFFFF" w:themeColor="background1"/>
                          <w:sz w:val="22"/>
                          <w:szCs w:val="22"/>
                          <w:lang w:eastAsia="nl-NL"/>
                        </w:rPr>
                        <w:t>è</w:t>
                      </w:r>
                      <w:r w:rsidRPr="002D7269">
                        <w:rPr>
                          <w:rFonts w:eastAsia="Times New Roman" w:cs="Times New Roman"/>
                          <w:color w:val="FFFFFF" w:themeColor="background1"/>
                          <w:sz w:val="22"/>
                          <w:szCs w:val="22"/>
                          <w:lang w:eastAsia="nl-NL"/>
                        </w:rPr>
                        <w:t>n</w:t>
                      </w:r>
                      <w:proofErr w:type="spellEnd"/>
                      <w:r w:rsidRPr="002D7269">
                        <w:rPr>
                          <w:rFonts w:eastAsia="Times New Roman" w:cs="Times New Roman"/>
                          <w:color w:val="FFFFFF" w:themeColor="background1"/>
                          <w:sz w:val="22"/>
                          <w:szCs w:val="22"/>
                          <w:lang w:eastAsia="nl-NL"/>
                        </w:rPr>
                        <w:t xml:space="preserve"> waterzuiveringsinstallaties.</w:t>
                      </w:r>
                    </w:p>
                    <w:p w14:paraId="5A07172C" w14:textId="3FA279C1" w:rsidR="00074358" w:rsidRPr="002D7269" w:rsidRDefault="00074358" w:rsidP="00782BCC">
                      <w:pPr>
                        <w:numPr>
                          <w:ilvl w:val="0"/>
                          <w:numId w:val="21"/>
                        </w:numPr>
                        <w:spacing w:line="240" w:lineRule="auto"/>
                        <w:rPr>
                          <w:rFonts w:eastAsia="Times New Roman"/>
                          <w:color w:val="FFFFFF" w:themeColor="background1"/>
                          <w:sz w:val="22"/>
                          <w:szCs w:val="22"/>
                        </w:rPr>
                      </w:pPr>
                      <w:r w:rsidRPr="002D7269">
                        <w:rPr>
                          <w:rFonts w:eastAsia="Times New Roman"/>
                          <w:b/>
                          <w:bCs/>
                          <w:color w:val="FFFFFF" w:themeColor="background1"/>
                          <w:sz w:val="22"/>
                          <w:szCs w:val="22"/>
                        </w:rPr>
                        <w:t>Onderzoek</w:t>
                      </w:r>
                      <w:r w:rsidR="00353977" w:rsidRPr="002D7269">
                        <w:rPr>
                          <w:rFonts w:eastAsia="Times New Roman"/>
                          <w:b/>
                          <w:bCs/>
                          <w:color w:val="FFFFFF" w:themeColor="background1"/>
                          <w:sz w:val="22"/>
                          <w:szCs w:val="22"/>
                        </w:rPr>
                        <w:t>ers</w:t>
                      </w:r>
                      <w:r w:rsidRPr="002D7269">
                        <w:rPr>
                          <w:rFonts w:eastAsia="Times New Roman"/>
                          <w:b/>
                          <w:bCs/>
                          <w:color w:val="FFFFFF" w:themeColor="background1"/>
                          <w:sz w:val="22"/>
                          <w:szCs w:val="22"/>
                        </w:rPr>
                        <w:t xml:space="preserve"> </w:t>
                      </w:r>
                      <w:r w:rsidR="00E5078A" w:rsidRPr="002D7269">
                        <w:rPr>
                          <w:rFonts w:eastAsia="Times New Roman"/>
                          <w:color w:val="FFFFFF" w:themeColor="background1"/>
                          <w:sz w:val="22"/>
                          <w:szCs w:val="22"/>
                        </w:rPr>
                        <w:t>van in</w:t>
                      </w:r>
                      <w:r w:rsidR="007C67DA">
                        <w:rPr>
                          <w:rFonts w:eastAsia="Times New Roman"/>
                          <w:color w:val="FFFFFF" w:themeColor="background1"/>
                          <w:sz w:val="22"/>
                          <w:szCs w:val="22"/>
                        </w:rPr>
                        <w:t>s</w:t>
                      </w:r>
                      <w:r w:rsidR="00E5078A" w:rsidRPr="002D7269">
                        <w:rPr>
                          <w:rFonts w:eastAsia="Times New Roman"/>
                          <w:color w:val="FFFFFF" w:themeColor="background1"/>
                          <w:sz w:val="22"/>
                          <w:szCs w:val="22"/>
                        </w:rPr>
                        <w:t>tituten en bureaus zoals</w:t>
                      </w:r>
                      <w:r w:rsidRPr="002D7269">
                        <w:rPr>
                          <w:rFonts w:eastAsia="Times New Roman"/>
                          <w:color w:val="FFFFFF" w:themeColor="background1"/>
                          <w:sz w:val="22"/>
                          <w:szCs w:val="22"/>
                        </w:rPr>
                        <w:t xml:space="preserve"> W</w:t>
                      </w:r>
                      <w:r w:rsidR="00E105E3">
                        <w:rPr>
                          <w:rFonts w:eastAsia="Times New Roman"/>
                          <w:color w:val="FFFFFF" w:themeColor="background1"/>
                          <w:sz w:val="22"/>
                          <w:szCs w:val="22"/>
                        </w:rPr>
                        <w:t>U</w:t>
                      </w:r>
                      <w:r w:rsidRPr="002D7269">
                        <w:rPr>
                          <w:rFonts w:eastAsia="Times New Roman"/>
                          <w:color w:val="FFFFFF" w:themeColor="background1"/>
                          <w:sz w:val="22"/>
                          <w:szCs w:val="22"/>
                        </w:rPr>
                        <w:t>R</w:t>
                      </w:r>
                      <w:r w:rsidR="00C1378E" w:rsidRPr="002D7269">
                        <w:rPr>
                          <w:rFonts w:eastAsia="Times New Roman"/>
                          <w:color w:val="FFFFFF" w:themeColor="background1"/>
                          <w:sz w:val="22"/>
                          <w:szCs w:val="22"/>
                        </w:rPr>
                        <w:t>,</w:t>
                      </w:r>
                      <w:r w:rsidRPr="002D7269">
                        <w:rPr>
                          <w:rFonts w:eastAsia="Times New Roman"/>
                          <w:color w:val="FFFFFF" w:themeColor="background1"/>
                          <w:sz w:val="22"/>
                          <w:szCs w:val="22"/>
                        </w:rPr>
                        <w:t xml:space="preserve"> KWR</w:t>
                      </w:r>
                      <w:r w:rsidR="00C1378E" w:rsidRPr="002D7269">
                        <w:rPr>
                          <w:rFonts w:eastAsia="Times New Roman"/>
                          <w:color w:val="FFFFFF" w:themeColor="background1"/>
                          <w:sz w:val="22"/>
                          <w:szCs w:val="22"/>
                        </w:rPr>
                        <w:t xml:space="preserve"> en </w:t>
                      </w:r>
                      <w:proofErr w:type="spellStart"/>
                      <w:r w:rsidR="00C1378E" w:rsidRPr="002D7269">
                        <w:rPr>
                          <w:rFonts w:eastAsia="Times New Roman"/>
                          <w:color w:val="FFFFFF" w:themeColor="background1"/>
                          <w:sz w:val="22"/>
                          <w:szCs w:val="22"/>
                        </w:rPr>
                        <w:t>LeAF</w:t>
                      </w:r>
                      <w:proofErr w:type="spellEnd"/>
                      <w:r w:rsidRPr="002D7269">
                        <w:rPr>
                          <w:rFonts w:eastAsia="Times New Roman"/>
                          <w:color w:val="FFFFFF" w:themeColor="background1"/>
                          <w:sz w:val="22"/>
                          <w:szCs w:val="22"/>
                        </w:rPr>
                        <w:t xml:space="preserve"> ontwikkelen en monitoren nieuwe technieken om nutriënten terug te winnen, brengen behoeften, kansen en knelpunten in kaart en ontwikkelen een beoordelingskader voor veilig gebruik van circulaire meststoffen.</w:t>
                      </w:r>
                    </w:p>
                  </w:txbxContent>
                </v:textbox>
                <w10:wrap type="square" anchorx="margin"/>
              </v:shape>
            </w:pict>
          </mc:Fallback>
        </mc:AlternateContent>
      </w:r>
      <w:r w:rsidRPr="002D7269">
        <w:rPr>
          <w:rFonts w:eastAsia="Times New Roman" w:cs="Times New Roman"/>
          <w:color w:val="000000" w:themeColor="text1"/>
          <w:lang w:eastAsia="nl-NL"/>
        </w:rPr>
        <w:t xml:space="preserve">Verschillende sectoren en bedrijven zijn al </w:t>
      </w:r>
      <w:r w:rsidR="00CF1229" w:rsidRPr="002D7269">
        <w:rPr>
          <w:rFonts w:eastAsia="Times New Roman" w:cs="Times New Roman"/>
          <w:color w:val="000000" w:themeColor="text1"/>
          <w:lang w:eastAsia="nl-NL"/>
        </w:rPr>
        <w:t xml:space="preserve">gestart </w:t>
      </w:r>
      <w:r w:rsidRPr="002D7269">
        <w:rPr>
          <w:rFonts w:eastAsia="Times New Roman" w:cs="Times New Roman"/>
          <w:color w:val="000000" w:themeColor="text1"/>
          <w:lang w:eastAsia="nl-NL"/>
        </w:rPr>
        <w:t>en staan klaar om meer te doen.</w:t>
      </w:r>
      <w:r w:rsidR="00EE791C" w:rsidRPr="002D7269">
        <w:rPr>
          <w:rFonts w:eastAsia="Times New Roman" w:cs="Times New Roman"/>
          <w:color w:val="000000" w:themeColor="text1"/>
          <w:lang w:eastAsia="nl-NL"/>
        </w:rPr>
        <w:t xml:space="preserve"> </w:t>
      </w:r>
    </w:p>
    <w:p w14:paraId="0DFBEDAB" w14:textId="77777777" w:rsidR="00CA13BE" w:rsidRDefault="00CA13BE" w:rsidP="00A006FD">
      <w:pPr>
        <w:spacing w:before="100" w:beforeAutospacing="1" w:after="100" w:afterAutospacing="1" w:line="276" w:lineRule="auto"/>
        <w:rPr>
          <w:rFonts w:eastAsia="Times New Roman" w:cs="Times New Roman"/>
          <w:lang w:eastAsia="nl-NL"/>
        </w:rPr>
      </w:pPr>
    </w:p>
    <w:p w14:paraId="6419B302" w14:textId="77777777" w:rsidR="00CA13BE" w:rsidRDefault="00074358" w:rsidP="00CA13BE">
      <w:pPr>
        <w:spacing w:before="100" w:beforeAutospacing="1" w:after="100" w:afterAutospacing="1" w:line="276" w:lineRule="auto"/>
        <w:rPr>
          <w:rFonts w:eastAsia="Times New Roman" w:cs="Times New Roman"/>
          <w:lang w:eastAsia="nl-NL"/>
        </w:rPr>
      </w:pPr>
      <w:r w:rsidRPr="002D7269">
        <w:rPr>
          <w:rFonts w:eastAsia="Times New Roman" w:cs="Times New Roman"/>
          <w:lang w:eastAsia="nl-NL"/>
        </w:rPr>
        <w:t>Ondanks deze mooie initiatieven is slechts een klein deel van de meststoffen in Nederland circulair en blijven we afhankelijk van de direct</w:t>
      </w:r>
      <w:r w:rsidR="00A006FD">
        <w:rPr>
          <w:rFonts w:eastAsia="Times New Roman" w:cs="Times New Roman"/>
          <w:lang w:eastAsia="nl-NL"/>
        </w:rPr>
        <w:t>e</w:t>
      </w:r>
      <w:r w:rsidRPr="002D7269">
        <w:rPr>
          <w:rFonts w:eastAsia="Times New Roman" w:cs="Times New Roman"/>
          <w:lang w:eastAsia="nl-NL"/>
        </w:rPr>
        <w:t xml:space="preserve"> of indirecte meststoffenimport. Dit kan versneld worden door effectief beleid en samenwerking met de waardeketen om deze uit te voeren.</w:t>
      </w:r>
    </w:p>
    <w:p w14:paraId="78566AF4" w14:textId="1218FFCA" w:rsidR="00074358" w:rsidRPr="002D7269" w:rsidRDefault="00074358" w:rsidP="00CA13BE">
      <w:pPr>
        <w:spacing w:before="100" w:beforeAutospacing="1" w:line="276" w:lineRule="auto"/>
        <w:rPr>
          <w:rFonts w:eastAsia="Times New Roman" w:cs="Times New Roman"/>
          <w:lang w:eastAsia="nl-NL"/>
        </w:rPr>
      </w:pPr>
      <w:r w:rsidRPr="002D7269">
        <w:rPr>
          <w:rFonts w:eastAsia="Times New Roman" w:cs="Times New Roman"/>
          <w:b/>
          <w:bCs/>
          <w:lang w:eastAsia="nl-NL"/>
        </w:rPr>
        <w:t>Oproep voor een betrokken overheid</w:t>
      </w:r>
    </w:p>
    <w:p w14:paraId="2652000A" w14:textId="4E580376" w:rsidR="00074358" w:rsidRPr="002D7269" w:rsidRDefault="00074358" w:rsidP="00CA13BE">
      <w:pPr>
        <w:spacing w:line="276" w:lineRule="auto"/>
        <w:rPr>
          <w:rFonts w:eastAsia="Times New Roman" w:cs="Times New Roman"/>
          <w:lang w:eastAsia="nl-NL"/>
        </w:rPr>
      </w:pPr>
      <w:r w:rsidRPr="002D7269">
        <w:rPr>
          <w:rFonts w:eastAsia="Times New Roman" w:cs="Times New Roman"/>
          <w:lang w:eastAsia="nl-NL"/>
        </w:rPr>
        <w:t>Om deze kansen te benutten en de transitie naar een circulair landbouwsysteem te realiseren, is een betrokken, coördinerende en meewerkende overheid nodig. Daarom roepen wij de overheid op om intensiever samen te werken met de gehele waardeketen om de nutriëntenkringloop te sluiten.</w:t>
      </w:r>
      <w:r w:rsidR="00863AEB">
        <w:rPr>
          <w:rFonts w:eastAsia="Times New Roman" w:cs="Times New Roman"/>
          <w:lang w:eastAsia="nl-NL"/>
        </w:rPr>
        <w:t xml:space="preserve">   </w:t>
      </w:r>
      <w:r w:rsidRPr="002D7269">
        <w:rPr>
          <w:rFonts w:eastAsia="Times New Roman" w:cs="Times New Roman"/>
          <w:lang w:eastAsia="nl-NL"/>
        </w:rPr>
        <w:t xml:space="preserve"> </w:t>
      </w:r>
      <w:r w:rsidR="002C1DDD" w:rsidRPr="002D7269">
        <w:rPr>
          <w:rFonts w:eastAsia="Times New Roman" w:cs="Times New Roman"/>
          <w:lang w:eastAsia="nl-NL"/>
        </w:rPr>
        <w:t xml:space="preserve">Aangehecht deze brief treft </w:t>
      </w:r>
      <w:r w:rsidR="00DF1882" w:rsidRPr="002D7269">
        <w:rPr>
          <w:rFonts w:eastAsia="Times New Roman" w:cs="Times New Roman"/>
          <w:lang w:eastAsia="nl-NL"/>
        </w:rPr>
        <w:t>vindt u beleidsaanbevelingen die in samenwerking met partners uit de waardeketen zijn opgesteld en gericht zijn op het versnellen van deze transitie.</w:t>
      </w:r>
      <w:r w:rsidR="002C1DDD" w:rsidRPr="002D7269">
        <w:rPr>
          <w:rFonts w:eastAsia="Times New Roman" w:cs="Times New Roman"/>
          <w:lang w:eastAsia="nl-NL"/>
        </w:rPr>
        <w:t xml:space="preserve"> </w:t>
      </w:r>
      <w:r w:rsidR="00490EBC" w:rsidRPr="002D7269">
        <w:rPr>
          <w:rFonts w:eastAsia="Times New Roman" w:cs="Times New Roman"/>
          <w:lang w:eastAsia="nl-NL"/>
        </w:rPr>
        <w:t>Namens deze partners</w:t>
      </w:r>
      <w:r w:rsidRPr="002D7269">
        <w:rPr>
          <w:rFonts w:eastAsia="Times New Roman" w:cs="Times New Roman"/>
          <w:lang w:eastAsia="nl-NL"/>
        </w:rPr>
        <w:t xml:space="preserve"> </w:t>
      </w:r>
      <w:r w:rsidR="00785BCE" w:rsidRPr="002D7269">
        <w:rPr>
          <w:rFonts w:eastAsia="Times New Roman" w:cs="Times New Roman"/>
          <w:lang w:eastAsia="nl-NL"/>
        </w:rPr>
        <w:t>nodigen wij u graag uit om met ons in</w:t>
      </w:r>
      <w:r w:rsidRPr="002D7269">
        <w:rPr>
          <w:rFonts w:eastAsia="Times New Roman" w:cs="Times New Roman"/>
          <w:lang w:eastAsia="nl-NL"/>
        </w:rPr>
        <w:t xml:space="preserve"> gesprek</w:t>
      </w:r>
      <w:r w:rsidR="00785BCE" w:rsidRPr="002D7269">
        <w:rPr>
          <w:rFonts w:eastAsia="Times New Roman" w:cs="Times New Roman"/>
          <w:lang w:eastAsia="nl-NL"/>
        </w:rPr>
        <w:t xml:space="preserve"> te</w:t>
      </w:r>
      <w:r w:rsidRPr="002D7269">
        <w:rPr>
          <w:rFonts w:eastAsia="Times New Roman" w:cs="Times New Roman"/>
          <w:lang w:eastAsia="nl-NL"/>
        </w:rPr>
        <w:t xml:space="preserve"> gaan</w:t>
      </w:r>
      <w:r w:rsidR="00A77253" w:rsidRPr="002D7269">
        <w:rPr>
          <w:rFonts w:eastAsia="Times New Roman" w:cs="Times New Roman"/>
          <w:lang w:eastAsia="nl-NL"/>
        </w:rPr>
        <w:t xml:space="preserve">. </w:t>
      </w:r>
    </w:p>
    <w:p w14:paraId="69E4D305" w14:textId="1B71938F" w:rsidR="00D00DE8" w:rsidRDefault="00074358" w:rsidP="00077AA9">
      <w:pPr>
        <w:spacing w:after="100" w:afterAutospacing="1" w:line="276" w:lineRule="auto"/>
        <w:rPr>
          <w:rFonts w:eastAsia="Times New Roman" w:cs="Times New Roman"/>
          <w:lang w:eastAsia="nl-NL"/>
        </w:rPr>
      </w:pPr>
      <w:r w:rsidRPr="002D7269">
        <w:rPr>
          <w:rFonts w:eastAsia="Times New Roman" w:cs="Times New Roman"/>
          <w:lang w:eastAsia="nl-NL"/>
        </w:rPr>
        <w:t xml:space="preserve">Samen met een betrokken overheid kunnen we de unieke positie van Nederland benutten en serieuze stappen zetten naar een onafhankelijker en soeverein voedselsysteem. Niet alleen voor Nederland, maar ook voor Europa. Zo zorgen we voor gezonde bodems, gezond voedsel en gezond water — </w:t>
      </w:r>
      <w:r w:rsidR="007404D4" w:rsidRPr="002D7269">
        <w:rPr>
          <w:rFonts w:eastAsia="Times New Roman" w:cs="Times New Roman"/>
          <w:lang w:eastAsia="nl-NL"/>
        </w:rPr>
        <w:t xml:space="preserve">voor </w:t>
      </w:r>
      <w:r w:rsidRPr="002D7269">
        <w:rPr>
          <w:rFonts w:eastAsia="Times New Roman" w:cs="Times New Roman"/>
          <w:lang w:eastAsia="nl-NL"/>
        </w:rPr>
        <w:t xml:space="preserve">nu </w:t>
      </w:r>
      <w:proofErr w:type="spellStart"/>
      <w:r w:rsidR="007404D4" w:rsidRPr="002D7269">
        <w:rPr>
          <w:rFonts w:eastAsia="Times New Roman" w:cs="Times New Roman"/>
          <w:lang w:eastAsia="nl-NL"/>
        </w:rPr>
        <w:t>è</w:t>
      </w:r>
      <w:r w:rsidRPr="002D7269">
        <w:rPr>
          <w:rFonts w:eastAsia="Times New Roman" w:cs="Times New Roman"/>
          <w:lang w:eastAsia="nl-NL"/>
        </w:rPr>
        <w:t>n</w:t>
      </w:r>
      <w:proofErr w:type="spellEnd"/>
      <w:r w:rsidRPr="002D7269">
        <w:rPr>
          <w:rFonts w:eastAsia="Times New Roman" w:cs="Times New Roman"/>
          <w:lang w:eastAsia="nl-NL"/>
        </w:rPr>
        <w:t xml:space="preserve"> voor toekomstige generaties.</w:t>
      </w:r>
      <w:r w:rsidRPr="002D7269">
        <w:rPr>
          <w:rFonts w:eastAsia="Times New Roman" w:cs="Times New Roman"/>
          <w:lang w:eastAsia="nl-NL"/>
        </w:rPr>
        <w:br/>
      </w:r>
      <w:r w:rsidRPr="002D7269">
        <w:rPr>
          <w:rFonts w:eastAsia="Times New Roman" w:cs="Times New Roman"/>
          <w:lang w:eastAsia="nl-NL"/>
        </w:rPr>
        <w:br/>
      </w:r>
      <w:r w:rsidR="003F4509">
        <w:rPr>
          <w:rFonts w:eastAsia="Times New Roman" w:cs="Times New Roman"/>
          <w:lang w:eastAsia="nl-NL"/>
        </w:rPr>
        <w:t xml:space="preserve">Deze brief is verstuurd naar de ministers van </w:t>
      </w:r>
      <w:r w:rsidR="0061552E">
        <w:rPr>
          <w:rFonts w:eastAsia="Times New Roman" w:cs="Times New Roman"/>
          <w:lang w:eastAsia="nl-NL"/>
        </w:rPr>
        <w:t xml:space="preserve">Infrastructuur en Waterstaat, van Landbouw, Voedselzekerheid, Visserij en Natuur, van </w:t>
      </w:r>
      <w:r w:rsidR="00D00DE8">
        <w:rPr>
          <w:rFonts w:eastAsia="Times New Roman" w:cs="Times New Roman"/>
          <w:lang w:eastAsia="nl-NL"/>
        </w:rPr>
        <w:t xml:space="preserve">Economische Zaken en van Klimaat en Groene </w:t>
      </w:r>
      <w:r w:rsidR="00077AA9">
        <w:rPr>
          <w:rFonts w:eastAsia="Times New Roman" w:cs="Times New Roman"/>
          <w:lang w:eastAsia="nl-NL"/>
        </w:rPr>
        <w:t>Groei</w:t>
      </w:r>
      <w:r w:rsidR="00D00DE8">
        <w:rPr>
          <w:rFonts w:eastAsia="Times New Roman" w:cs="Times New Roman"/>
          <w:lang w:eastAsia="nl-NL"/>
        </w:rPr>
        <w:t xml:space="preserve">. </w:t>
      </w:r>
    </w:p>
    <w:p w14:paraId="32D83A9A" w14:textId="6E3597AD" w:rsidR="00074358" w:rsidRPr="002D7269" w:rsidRDefault="00074358" w:rsidP="00077AA9">
      <w:pPr>
        <w:spacing w:after="100" w:afterAutospacing="1" w:line="276" w:lineRule="auto"/>
        <w:rPr>
          <w:rFonts w:eastAsia="Times New Roman" w:cs="Times New Roman"/>
          <w:lang w:eastAsia="nl-NL"/>
        </w:rPr>
      </w:pPr>
      <w:r w:rsidRPr="002D7269">
        <w:rPr>
          <w:rFonts w:eastAsia="Times New Roman" w:cs="Times New Roman"/>
          <w:lang w:eastAsia="nl-NL"/>
        </w:rPr>
        <w:t>Wij zien uit naar</w:t>
      </w:r>
      <w:r w:rsidR="00071910" w:rsidRPr="002D7269">
        <w:rPr>
          <w:rFonts w:eastAsia="Times New Roman" w:cs="Times New Roman"/>
          <w:lang w:eastAsia="nl-NL"/>
        </w:rPr>
        <w:t xml:space="preserve"> uw reactie</w:t>
      </w:r>
      <w:r w:rsidR="002E3DC0">
        <w:rPr>
          <w:rFonts w:eastAsia="Times New Roman" w:cs="Times New Roman"/>
          <w:lang w:eastAsia="nl-NL"/>
        </w:rPr>
        <w:t xml:space="preserve"> en</w:t>
      </w:r>
      <w:r w:rsidR="00071910" w:rsidRPr="002D7269">
        <w:rPr>
          <w:rFonts w:eastAsia="Times New Roman" w:cs="Times New Roman"/>
          <w:lang w:eastAsia="nl-NL"/>
        </w:rPr>
        <w:t xml:space="preserve"> </w:t>
      </w:r>
      <w:r w:rsidRPr="002D7269">
        <w:rPr>
          <w:rFonts w:eastAsia="Times New Roman" w:cs="Times New Roman"/>
          <w:lang w:eastAsia="nl-NL"/>
        </w:rPr>
        <w:t>een vruchtbare samenwerking</w:t>
      </w:r>
      <w:r w:rsidR="002E3DC0">
        <w:rPr>
          <w:rFonts w:eastAsia="Times New Roman" w:cs="Times New Roman"/>
          <w:lang w:eastAsia="nl-NL"/>
        </w:rPr>
        <w:t>. Graag</w:t>
      </w:r>
      <w:r w:rsidRPr="002D7269">
        <w:rPr>
          <w:rFonts w:eastAsia="Times New Roman" w:cs="Times New Roman"/>
          <w:lang w:eastAsia="nl-NL"/>
        </w:rPr>
        <w:t xml:space="preserve"> bieden </w:t>
      </w:r>
      <w:r w:rsidR="002E3DC0">
        <w:rPr>
          <w:rFonts w:eastAsia="Times New Roman" w:cs="Times New Roman"/>
          <w:lang w:eastAsia="nl-NL"/>
        </w:rPr>
        <w:t xml:space="preserve">wij </w:t>
      </w:r>
      <w:r w:rsidR="006643A6" w:rsidRPr="002D7269">
        <w:rPr>
          <w:rFonts w:eastAsia="Times New Roman" w:cs="Times New Roman"/>
          <w:lang w:eastAsia="nl-NL"/>
        </w:rPr>
        <w:t xml:space="preserve">u </w:t>
      </w:r>
      <w:r w:rsidRPr="002D7269">
        <w:rPr>
          <w:rFonts w:eastAsia="Times New Roman" w:cs="Times New Roman"/>
          <w:lang w:eastAsia="nl-NL"/>
        </w:rPr>
        <w:t>onze expertise aan om gezamenlijk deze belangrijke maatschappelijke opgave te realiseren.</w:t>
      </w:r>
    </w:p>
    <w:p w14:paraId="3E2D9DAA" w14:textId="77777777" w:rsidR="002E3DC0" w:rsidRDefault="002E3DC0" w:rsidP="002E3DC0">
      <w:pPr>
        <w:spacing w:line="240" w:lineRule="auto"/>
        <w:rPr>
          <w:rFonts w:eastAsia="Times New Roman" w:cs="Times New Roman"/>
          <w:lang w:eastAsia="nl-NL"/>
        </w:rPr>
      </w:pPr>
      <w:r>
        <w:rPr>
          <w:rFonts w:eastAsia="Times New Roman" w:cs="Times New Roman"/>
          <w:lang w:eastAsia="nl-NL"/>
        </w:rPr>
        <w:t>Hoogachtend,</w:t>
      </w:r>
    </w:p>
    <w:p w14:paraId="2C4CFDEA" w14:textId="69557CF3" w:rsidR="00074358" w:rsidRPr="002D7269" w:rsidRDefault="002E3DC0" w:rsidP="00074358">
      <w:pPr>
        <w:spacing w:after="100" w:afterAutospacing="1" w:line="240" w:lineRule="auto"/>
        <w:rPr>
          <w:rFonts w:eastAsia="Times New Roman" w:cs="Times New Roman"/>
          <w:lang w:eastAsia="nl-NL"/>
        </w:rPr>
      </w:pPr>
      <w:r>
        <w:rPr>
          <w:rFonts w:eastAsia="Times New Roman" w:cs="Times New Roman"/>
          <w:lang w:eastAsia="nl-NL"/>
        </w:rPr>
        <w:t>NUTRIENT PLATFORM</w:t>
      </w:r>
    </w:p>
    <w:p w14:paraId="76E260A5" w14:textId="77777777" w:rsidR="00CF2A5F" w:rsidRPr="002D7269" w:rsidRDefault="00CF2A5F" w:rsidP="00074358">
      <w:pPr>
        <w:spacing w:after="100" w:afterAutospacing="1" w:line="240" w:lineRule="auto"/>
        <w:rPr>
          <w:rFonts w:eastAsia="Times New Roman" w:cs="Times New Roman"/>
          <w:lang w:eastAsia="nl-NL"/>
        </w:rPr>
      </w:pPr>
    </w:p>
    <w:p w14:paraId="172148A9" w14:textId="77777777" w:rsidR="00CF2A5F" w:rsidRPr="002D7269" w:rsidRDefault="00074358" w:rsidP="00CF2A5F">
      <w:pPr>
        <w:spacing w:line="240" w:lineRule="auto"/>
        <w:rPr>
          <w:rFonts w:eastAsia="Times New Roman" w:cs="Times New Roman"/>
          <w:lang w:eastAsia="nl-NL"/>
        </w:rPr>
      </w:pPr>
      <w:r w:rsidRPr="002D7269">
        <w:rPr>
          <w:rFonts w:eastAsia="Times New Roman" w:cs="Times New Roman"/>
          <w:lang w:eastAsia="nl-NL"/>
        </w:rPr>
        <w:t>Jorn Baan Hofman</w:t>
      </w:r>
    </w:p>
    <w:p w14:paraId="20B5B6ED" w14:textId="1C399D55" w:rsidR="00074358" w:rsidRPr="002D7269" w:rsidRDefault="00074358" w:rsidP="00CF2A5F">
      <w:pPr>
        <w:spacing w:line="240" w:lineRule="auto"/>
        <w:rPr>
          <w:rFonts w:eastAsia="Times New Roman" w:cs="Times New Roman"/>
          <w:lang w:eastAsia="nl-NL"/>
        </w:rPr>
      </w:pPr>
      <w:r w:rsidRPr="002D7269">
        <w:rPr>
          <w:rFonts w:eastAsia="Times New Roman" w:cs="Times New Roman"/>
          <w:lang w:eastAsia="nl-NL"/>
        </w:rPr>
        <w:t xml:space="preserve">Secretaris </w:t>
      </w:r>
    </w:p>
    <w:p w14:paraId="2D8FB744" w14:textId="77777777" w:rsidR="00B3756A" w:rsidRDefault="009A7896" w:rsidP="00B3756A">
      <w:pPr>
        <w:spacing w:line="240" w:lineRule="auto"/>
        <w:rPr>
          <w:rFonts w:eastAsia="Times New Roman" w:cs="Times New Roman"/>
          <w:lang w:eastAsia="nl-NL"/>
        </w:rPr>
      </w:pPr>
      <w:hyperlink r:id="rId15" w:history="1">
        <w:r w:rsidRPr="002D7269">
          <w:rPr>
            <w:rStyle w:val="Hyperlink"/>
            <w:rFonts w:eastAsia="Times New Roman" w:cs="Times New Roman"/>
            <w:lang w:eastAsia="nl-NL"/>
          </w:rPr>
          <w:t>j.baanhofman@nwp.nl</w:t>
        </w:r>
      </w:hyperlink>
      <w:r w:rsidRPr="002D7269">
        <w:rPr>
          <w:rFonts w:eastAsia="Times New Roman" w:cs="Times New Roman"/>
          <w:lang w:eastAsia="nl-NL"/>
        </w:rPr>
        <w:t xml:space="preserve">; </w:t>
      </w:r>
    </w:p>
    <w:p w14:paraId="76376F6C" w14:textId="4D3CB8F0" w:rsidR="00074358" w:rsidRPr="002D7269" w:rsidRDefault="006C7DAD" w:rsidP="00B3756A">
      <w:pPr>
        <w:spacing w:line="240" w:lineRule="auto"/>
        <w:rPr>
          <w:rFonts w:eastAsia="Times New Roman" w:cs="Times New Roman"/>
          <w:lang w:eastAsia="nl-NL"/>
        </w:rPr>
      </w:pPr>
      <w:r w:rsidRPr="002D7269">
        <w:rPr>
          <w:rFonts w:eastAsia="Times New Roman" w:cs="Times New Roman"/>
          <w:lang w:eastAsia="nl-NL"/>
        </w:rPr>
        <w:t>+31 (0)70 304 37 00</w:t>
      </w:r>
    </w:p>
    <w:p w14:paraId="47A77BA3" w14:textId="77777777" w:rsidR="00B3756A" w:rsidRDefault="00B3756A">
      <w:pPr>
        <w:spacing w:line="240" w:lineRule="auto"/>
        <w:rPr>
          <w:rFonts w:eastAsia="Times New Roman" w:cs="Times New Roman"/>
          <w:i/>
          <w:iCs/>
          <w:lang w:eastAsia="nl-NL"/>
        </w:rPr>
      </w:pPr>
    </w:p>
    <w:p w14:paraId="2DCE449F" w14:textId="77777777" w:rsidR="00B3756A" w:rsidRDefault="00B3756A">
      <w:pPr>
        <w:spacing w:line="240" w:lineRule="auto"/>
        <w:rPr>
          <w:rFonts w:eastAsia="Times New Roman" w:cs="Times New Roman"/>
          <w:i/>
          <w:iCs/>
          <w:lang w:eastAsia="nl-NL"/>
        </w:rPr>
      </w:pPr>
    </w:p>
    <w:p w14:paraId="61BCC01A" w14:textId="77777777" w:rsidR="00B3756A" w:rsidRDefault="00B3756A">
      <w:pPr>
        <w:spacing w:line="240" w:lineRule="auto"/>
        <w:rPr>
          <w:rFonts w:eastAsia="Times New Roman" w:cs="Times New Roman"/>
          <w:i/>
          <w:iCs/>
          <w:lang w:eastAsia="nl-NL"/>
        </w:rPr>
      </w:pPr>
    </w:p>
    <w:p w14:paraId="77CD3486" w14:textId="000B4A1C" w:rsidR="00C279FB" w:rsidRDefault="00B3756A" w:rsidP="009C7758">
      <w:pPr>
        <w:spacing w:line="240" w:lineRule="auto"/>
        <w:rPr>
          <w:rFonts w:eastAsia="Times New Roman" w:cs="Times New Roman"/>
          <w:lang w:eastAsia="nl-NL"/>
        </w:rPr>
      </w:pPr>
      <w:r w:rsidRPr="00C16888">
        <w:rPr>
          <w:rFonts w:eastAsia="Times New Roman" w:cs="Times New Roman"/>
          <w:u w:val="single"/>
          <w:lang w:eastAsia="nl-NL"/>
        </w:rPr>
        <w:t>Bijlage</w:t>
      </w:r>
      <w:r>
        <w:rPr>
          <w:rFonts w:eastAsia="Times New Roman" w:cs="Times New Roman"/>
          <w:lang w:eastAsia="nl-NL"/>
        </w:rPr>
        <w:t>:</w:t>
      </w:r>
      <w:r w:rsidR="009C7758">
        <w:rPr>
          <w:rFonts w:eastAsia="Times New Roman" w:cs="Times New Roman"/>
          <w:lang w:eastAsia="nl-NL"/>
        </w:rPr>
        <w:t xml:space="preserve"> Beleidsaanbevelingen voor een duurzame nutriëntenkringloop</w:t>
      </w:r>
    </w:p>
    <w:p w14:paraId="06E40045" w14:textId="77777777" w:rsidR="009C7758" w:rsidRPr="00B3756A" w:rsidRDefault="009C7758" w:rsidP="00B3756A">
      <w:pPr>
        <w:pStyle w:val="Lijstalinea"/>
        <w:spacing w:line="240" w:lineRule="auto"/>
        <w:ind w:left="720"/>
        <w:rPr>
          <w:rFonts w:eastAsia="Times New Roman" w:cs="Times New Roman"/>
          <w:lang w:eastAsia="nl-NL"/>
        </w:rPr>
      </w:pPr>
    </w:p>
    <w:p w14:paraId="06CE9C98" w14:textId="77777777" w:rsidR="00C16888" w:rsidRDefault="00C16888" w:rsidP="00181721">
      <w:pPr>
        <w:spacing w:after="100" w:afterAutospacing="1" w:line="240" w:lineRule="auto"/>
        <w:rPr>
          <w:rFonts w:eastAsia="Times New Roman" w:cs="Times New Roman"/>
          <w:i/>
          <w:iCs/>
          <w:lang w:eastAsia="nl-NL"/>
        </w:rPr>
      </w:pPr>
    </w:p>
    <w:p w14:paraId="00AAEAEB" w14:textId="77777777" w:rsidR="00C16888" w:rsidRDefault="00C16888" w:rsidP="00181721">
      <w:pPr>
        <w:spacing w:after="100" w:afterAutospacing="1" w:line="240" w:lineRule="auto"/>
        <w:rPr>
          <w:rFonts w:eastAsia="Times New Roman" w:cs="Times New Roman"/>
          <w:i/>
          <w:iCs/>
          <w:lang w:eastAsia="nl-NL"/>
        </w:rPr>
      </w:pPr>
    </w:p>
    <w:p w14:paraId="62287F4E" w14:textId="77777777" w:rsidR="00C16888" w:rsidRDefault="00C16888" w:rsidP="00181721">
      <w:pPr>
        <w:spacing w:after="100" w:afterAutospacing="1" w:line="240" w:lineRule="auto"/>
        <w:rPr>
          <w:rFonts w:eastAsia="Times New Roman" w:cs="Times New Roman"/>
          <w:i/>
          <w:iCs/>
          <w:lang w:eastAsia="nl-NL"/>
        </w:rPr>
      </w:pPr>
    </w:p>
    <w:p w14:paraId="55552BFA" w14:textId="77777777" w:rsidR="00C16888" w:rsidRDefault="00C16888" w:rsidP="00181721">
      <w:pPr>
        <w:spacing w:after="100" w:afterAutospacing="1" w:line="240" w:lineRule="auto"/>
        <w:rPr>
          <w:rFonts w:eastAsia="Times New Roman" w:cs="Times New Roman"/>
          <w:i/>
          <w:iCs/>
          <w:lang w:eastAsia="nl-NL"/>
        </w:rPr>
      </w:pPr>
    </w:p>
    <w:p w14:paraId="6B8EA52F" w14:textId="77777777" w:rsidR="00C16888" w:rsidRDefault="00C16888" w:rsidP="00181721">
      <w:pPr>
        <w:spacing w:after="100" w:afterAutospacing="1" w:line="240" w:lineRule="auto"/>
        <w:rPr>
          <w:rFonts w:eastAsia="Times New Roman" w:cs="Times New Roman"/>
          <w:i/>
          <w:iCs/>
          <w:lang w:eastAsia="nl-NL"/>
        </w:rPr>
      </w:pPr>
    </w:p>
    <w:p w14:paraId="136713FA" w14:textId="77777777" w:rsidR="00B16896" w:rsidRDefault="00B16896" w:rsidP="00181721">
      <w:pPr>
        <w:spacing w:after="100" w:afterAutospacing="1" w:line="240" w:lineRule="auto"/>
        <w:rPr>
          <w:rFonts w:eastAsia="Times New Roman" w:cs="Times New Roman"/>
          <w:i/>
          <w:iCs/>
          <w:lang w:eastAsia="nl-NL"/>
        </w:rPr>
      </w:pPr>
    </w:p>
    <w:p w14:paraId="743F9736" w14:textId="77777777" w:rsidR="00B16896" w:rsidRDefault="00B16896" w:rsidP="00181721">
      <w:pPr>
        <w:spacing w:after="100" w:afterAutospacing="1" w:line="240" w:lineRule="auto"/>
        <w:rPr>
          <w:rFonts w:eastAsia="Times New Roman" w:cs="Times New Roman"/>
          <w:i/>
          <w:iCs/>
          <w:lang w:eastAsia="nl-NL"/>
        </w:rPr>
      </w:pPr>
    </w:p>
    <w:p w14:paraId="75EA258C" w14:textId="77777777" w:rsidR="00B16896" w:rsidRDefault="00B16896" w:rsidP="00181721">
      <w:pPr>
        <w:spacing w:after="100" w:afterAutospacing="1" w:line="240" w:lineRule="auto"/>
        <w:rPr>
          <w:rFonts w:eastAsia="Times New Roman" w:cs="Times New Roman"/>
          <w:i/>
          <w:iCs/>
          <w:lang w:eastAsia="nl-NL"/>
        </w:rPr>
      </w:pPr>
    </w:p>
    <w:p w14:paraId="37988DFC" w14:textId="6E84385A" w:rsidR="00181721" w:rsidRDefault="00074358" w:rsidP="00181721">
      <w:pPr>
        <w:spacing w:after="100" w:afterAutospacing="1" w:line="240" w:lineRule="auto"/>
        <w:rPr>
          <w:rFonts w:eastAsia="Times New Roman" w:cs="Times New Roman"/>
          <w:i/>
          <w:iCs/>
          <w:lang w:eastAsia="nl-NL"/>
        </w:rPr>
      </w:pPr>
      <w:r w:rsidRPr="002D7269">
        <w:rPr>
          <w:rFonts w:eastAsia="Times New Roman" w:cs="Times New Roman"/>
          <w:i/>
          <w:iCs/>
          <w:lang w:eastAsia="nl-NL"/>
        </w:rPr>
        <w:t xml:space="preserve">Het Nutrient Platform is een cross-sectoraal netwerk van </w:t>
      </w:r>
      <w:r w:rsidR="00245EC1" w:rsidRPr="002D7269">
        <w:rPr>
          <w:rFonts w:eastAsia="Times New Roman" w:cs="Times New Roman"/>
          <w:i/>
          <w:iCs/>
          <w:lang w:eastAsia="nl-NL"/>
        </w:rPr>
        <w:t xml:space="preserve">21 </w:t>
      </w:r>
      <w:r w:rsidRPr="002D7269">
        <w:rPr>
          <w:rFonts w:eastAsia="Times New Roman" w:cs="Times New Roman"/>
          <w:i/>
          <w:iCs/>
          <w:lang w:eastAsia="nl-NL"/>
        </w:rPr>
        <w:t>organisaties die zich inzetten voor het sluiten van de nutriënten kringloop</w:t>
      </w:r>
      <w:r w:rsidR="00E06B02" w:rsidRPr="002D7269">
        <w:rPr>
          <w:rFonts w:eastAsia="Times New Roman" w:cs="Times New Roman"/>
          <w:i/>
          <w:iCs/>
          <w:lang w:eastAsia="nl-NL"/>
        </w:rPr>
        <w:t xml:space="preserve"> in Nederland</w:t>
      </w:r>
      <w:r w:rsidRPr="002D7269">
        <w:rPr>
          <w:rFonts w:eastAsia="Times New Roman" w:cs="Times New Roman"/>
          <w:i/>
          <w:iCs/>
          <w:lang w:eastAsia="nl-NL"/>
        </w:rPr>
        <w:t>. Het Nutrient Platform is in 2011 opgericht, met als start de ondertekening van het Ketenakkoord Fosfaatkringloop waarin het samen met de Nederlandse overheid de verantwoordelijkheid op zich heeft genomen om organisaties door de gehele waardeketen te ondersteunen bij het sluiten van de nutriënten kringloop</w:t>
      </w:r>
      <w:r w:rsidR="00E06B02" w:rsidRPr="002D7269">
        <w:rPr>
          <w:rFonts w:eastAsia="Times New Roman" w:cs="Times New Roman"/>
          <w:i/>
          <w:iCs/>
          <w:lang w:eastAsia="nl-NL"/>
        </w:rPr>
        <w:t xml:space="preserve"> voor een duurzamer en onafhankelijker voedselsysteem.</w:t>
      </w:r>
    </w:p>
    <w:p w14:paraId="1C91DF6A" w14:textId="4885E22D" w:rsidR="008F5473" w:rsidRPr="002D7269" w:rsidRDefault="00B16896" w:rsidP="00181721">
      <w:pPr>
        <w:spacing w:after="100" w:afterAutospacing="1" w:line="240" w:lineRule="auto"/>
        <w:rPr>
          <w:rFonts w:eastAsia="Times New Roman" w:cs="Times New Roman"/>
          <w:i/>
          <w:iCs/>
          <w:lang w:eastAsia="nl-NL"/>
        </w:rPr>
      </w:pPr>
      <w:r w:rsidRPr="00D30463">
        <w:rPr>
          <w:rFonts w:eastAsia="Times New Roman" w:cs="Times New Roman"/>
          <w:i/>
          <w:iCs/>
          <w:noProof/>
          <w:lang w:eastAsia="nl-NL"/>
        </w:rPr>
        <mc:AlternateContent>
          <mc:Choice Requires="wps">
            <w:drawing>
              <wp:anchor distT="45720" distB="45720" distL="114300" distR="114300" simplePos="0" relativeHeight="251666432" behindDoc="0" locked="0" layoutInCell="1" allowOverlap="1" wp14:anchorId="4CE5AA7A" wp14:editId="4EE25E51">
                <wp:simplePos x="0" y="0"/>
                <wp:positionH relativeFrom="column">
                  <wp:posOffset>3028315</wp:posOffset>
                </wp:positionH>
                <wp:positionV relativeFrom="paragraph">
                  <wp:posOffset>5628640</wp:posOffset>
                </wp:positionV>
                <wp:extent cx="209550" cy="1404620"/>
                <wp:effectExtent l="0" t="0" r="0" b="7620"/>
                <wp:wrapNone/>
                <wp:docPr id="59708966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404620"/>
                        </a:xfrm>
                        <a:prstGeom prst="rect">
                          <a:avLst/>
                        </a:prstGeom>
                        <a:solidFill>
                          <a:srgbClr val="FFFFFF"/>
                        </a:solidFill>
                        <a:ln w="9525">
                          <a:noFill/>
                          <a:miter lim="800000"/>
                          <a:headEnd/>
                          <a:tailEnd/>
                        </a:ln>
                      </wps:spPr>
                      <wps:txbx>
                        <w:txbxContent>
                          <w:p w14:paraId="55B39798" w14:textId="1E3BA57E" w:rsidR="00D30463" w:rsidRPr="00D30463" w:rsidRDefault="00D30463">
                            <w:pPr>
                              <w:rPr>
                                <w:lang w:val="en-US"/>
                              </w:rPr>
                            </w:pPr>
                            <w:r>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E5AA7A" id="Tekstvak 2" o:spid="_x0000_s1027" type="#_x0000_t202" style="position:absolute;margin-left:238.45pt;margin-top:443.2pt;width:16.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" stroked="f">
                <v:textbox style="mso-fit-shape-to-text:t">
                  <w:txbxContent>
                    <w:p w14:paraId="55B39798" w14:textId="1E3BA57E" w:rsidR="00D30463" w:rsidRPr="00D30463" w:rsidRDefault="00D30463">
                      <w:pPr>
                        <w:rPr>
                          <w:lang w:val="en-US"/>
                        </w:rPr>
                      </w:pPr>
                      <w:r>
                        <w:rPr>
                          <w:lang w:val="en-US"/>
                        </w:rPr>
                        <w:t>*</w:t>
                      </w:r>
                    </w:p>
                  </w:txbxContent>
                </v:textbox>
              </v:shape>
            </w:pict>
          </mc:Fallback>
        </mc:AlternateContent>
      </w:r>
      <w:r w:rsidRPr="00D30463">
        <w:rPr>
          <w:rFonts w:eastAsia="Times New Roman" w:cs="Times New Roman"/>
          <w:i/>
          <w:iCs/>
          <w:noProof/>
          <w:lang w:eastAsia="nl-NL"/>
        </w:rPr>
        <mc:AlternateContent>
          <mc:Choice Requires="wps">
            <w:drawing>
              <wp:anchor distT="45720" distB="45720" distL="114300" distR="114300" simplePos="0" relativeHeight="251668480" behindDoc="0" locked="0" layoutInCell="1" allowOverlap="1" wp14:anchorId="64A4F110" wp14:editId="09733D0F">
                <wp:simplePos x="0" y="0"/>
                <wp:positionH relativeFrom="column">
                  <wp:posOffset>1580515</wp:posOffset>
                </wp:positionH>
                <wp:positionV relativeFrom="paragraph">
                  <wp:posOffset>5628640</wp:posOffset>
                </wp:positionV>
                <wp:extent cx="209550" cy="1404620"/>
                <wp:effectExtent l="0" t="0" r="0" b="7620"/>
                <wp:wrapNone/>
                <wp:docPr id="91513653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404620"/>
                        </a:xfrm>
                        <a:prstGeom prst="rect">
                          <a:avLst/>
                        </a:prstGeom>
                        <a:solidFill>
                          <a:srgbClr val="FFFFFF"/>
                        </a:solidFill>
                        <a:ln w="9525">
                          <a:noFill/>
                          <a:miter lim="800000"/>
                          <a:headEnd/>
                          <a:tailEnd/>
                        </a:ln>
                      </wps:spPr>
                      <wps:txbx>
                        <w:txbxContent>
                          <w:p w14:paraId="46FF7BBE" w14:textId="77777777" w:rsidR="00D30463" w:rsidRPr="00D30463" w:rsidRDefault="00D30463" w:rsidP="00D30463">
                            <w:pPr>
                              <w:rPr>
                                <w:lang w:val="en-US"/>
                              </w:rPr>
                            </w:pPr>
                            <w:r>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A4F110" id="_x0000_s1028" type="#_x0000_t202" style="position:absolute;margin-left:124.45pt;margin-top:443.2pt;width:16.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" stroked="f">
                <v:textbox style="mso-fit-shape-to-text:t">
                  <w:txbxContent>
                    <w:p w14:paraId="46FF7BBE" w14:textId="77777777" w:rsidR="00D30463" w:rsidRPr="00D30463" w:rsidRDefault="00D30463" w:rsidP="00D30463">
                      <w:pPr>
                        <w:rPr>
                          <w:lang w:val="en-US"/>
                        </w:rPr>
                      </w:pPr>
                      <w:r>
                        <w:rPr>
                          <w:lang w:val="en-US"/>
                        </w:rPr>
                        <w:t>*</w:t>
                      </w:r>
                    </w:p>
                  </w:txbxContent>
                </v:textbox>
              </v:shape>
            </w:pict>
          </mc:Fallback>
        </mc:AlternateContent>
      </w:r>
      <w:r w:rsidR="00044DED">
        <w:rPr>
          <w:rFonts w:eastAsia="Times New Roman" w:cs="Times New Roman"/>
          <w:i/>
          <w:iCs/>
          <w:noProof/>
          <w:lang w:eastAsia="nl-NL"/>
        </w:rPr>
        <w:drawing>
          <wp:inline distT="0" distB="0" distL="0" distR="0" wp14:anchorId="644B1166" wp14:editId="4458AB6A">
            <wp:extent cx="4902200" cy="6670960"/>
            <wp:effectExtent l="0" t="0" r="0" b="0"/>
            <wp:docPr id="63702026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3536" cy="6686386"/>
                    </a:xfrm>
                    <a:prstGeom prst="rect">
                      <a:avLst/>
                    </a:prstGeom>
                    <a:noFill/>
                  </pic:spPr>
                </pic:pic>
              </a:graphicData>
            </a:graphic>
          </wp:inline>
        </w:drawing>
      </w:r>
    </w:p>
    <w:p w14:paraId="459BA4CA" w14:textId="62C25EC5" w:rsidR="00074358" w:rsidRDefault="00181721" w:rsidP="00074358">
      <w:pPr>
        <w:spacing w:after="100" w:afterAutospacing="1" w:line="240" w:lineRule="auto"/>
        <w:rPr>
          <w:rFonts w:eastAsia="Times New Roman" w:cs="Times New Roman"/>
          <w:i/>
          <w:iCs/>
          <w:lang w:eastAsia="nl-NL"/>
        </w:rPr>
      </w:pPr>
      <w:bookmarkStart w:id="1" w:name="_Hlk200976301"/>
      <w:r w:rsidRPr="002D7269">
        <w:rPr>
          <w:rFonts w:ascii="Calibri" w:eastAsia="Times New Roman" w:hAnsi="Calibri" w:cs="Times New Roman"/>
          <w:i/>
          <w:iCs/>
          <w:lang w:eastAsia="nl-NL"/>
        </w:rPr>
        <w:t>*</w:t>
      </w:r>
      <w:bookmarkEnd w:id="1"/>
      <w:r w:rsidRPr="002D7269">
        <w:rPr>
          <w:rFonts w:ascii="Calibri" w:eastAsia="Times New Roman" w:hAnsi="Calibri" w:cs="Times New Roman"/>
          <w:i/>
          <w:iCs/>
          <w:lang w:eastAsia="nl-NL"/>
        </w:rPr>
        <w:t xml:space="preserve"> = </w:t>
      </w:r>
      <w:r w:rsidRPr="002D7269">
        <w:rPr>
          <w:rFonts w:ascii="Aptos" w:eastAsia="Calibri" w:hAnsi="Aptos" w:cs="Times New Roman"/>
          <w:i/>
          <w:iCs/>
          <w:color w:val="000000"/>
          <w:shd w:val="clear" w:color="auto" w:fill="FFFFFF"/>
        </w:rPr>
        <w:t>betrokken</w:t>
      </w:r>
      <w:r w:rsidR="00C279FB" w:rsidRPr="002D7269">
        <w:rPr>
          <w:rFonts w:ascii="Aptos" w:eastAsia="Calibri" w:hAnsi="Aptos" w:cs="Times New Roman"/>
          <w:i/>
          <w:iCs/>
          <w:color w:val="000000"/>
          <w:shd w:val="clear" w:color="auto" w:fill="FFFFFF"/>
        </w:rPr>
        <w:t xml:space="preserve"> bij deze brief</w:t>
      </w:r>
      <w:r w:rsidRPr="002D7269">
        <w:rPr>
          <w:rFonts w:ascii="Aptos" w:eastAsia="Calibri" w:hAnsi="Aptos" w:cs="Times New Roman"/>
          <w:i/>
          <w:iCs/>
          <w:color w:val="000000"/>
          <w:shd w:val="clear" w:color="auto" w:fill="FFFFFF"/>
        </w:rPr>
        <w:t xml:space="preserve"> ter kennisgeving</w:t>
      </w:r>
    </w:p>
    <w:sectPr w:rsidR="00074358" w:rsidSect="004D7789">
      <w:headerReference w:type="default" r:id="rId17"/>
      <w:footerReference w:type="default" r:id="rId18"/>
      <w:headerReference w:type="first" r:id="rId19"/>
      <w:footerReference w:type="first" r:id="rId20"/>
      <w:pgSz w:w="11900" w:h="16840"/>
      <w:pgMar w:top="2268" w:right="1531" w:bottom="1418"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BFB8" w14:textId="77777777" w:rsidR="007F2971" w:rsidRPr="002D7269" w:rsidRDefault="007F2971" w:rsidP="00B4731D">
      <w:pPr>
        <w:spacing w:line="240" w:lineRule="auto"/>
      </w:pPr>
      <w:r w:rsidRPr="002D7269">
        <w:separator/>
      </w:r>
    </w:p>
  </w:endnote>
  <w:endnote w:type="continuationSeparator" w:id="0">
    <w:p w14:paraId="50E5A5EF" w14:textId="77777777" w:rsidR="007F2971" w:rsidRPr="002D7269" w:rsidRDefault="007F2971" w:rsidP="00B4731D">
      <w:pPr>
        <w:spacing w:line="240" w:lineRule="auto"/>
      </w:pPr>
      <w:r w:rsidRPr="002D72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Koppen CS)">
    <w:altName w:val="Times New Roman"/>
    <w:panose1 w:val="00000000000000000000"/>
    <w:charset w:val="00"/>
    <w:family w:val="roman"/>
    <w:notTrueType/>
    <w:pitch w:val="default"/>
  </w:font>
  <w:font w:name="Times New Roman (Hoofdtekst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47605"/>
      <w:docPartObj>
        <w:docPartGallery w:val="Page Numbers (Bottom of Page)"/>
        <w:docPartUnique/>
      </w:docPartObj>
    </w:sdtPr>
    <w:sdtEndPr/>
    <w:sdtContent>
      <w:p w14:paraId="30CBB9FD" w14:textId="77777777" w:rsidR="00357A38" w:rsidRPr="002D7269" w:rsidRDefault="006E048C" w:rsidP="006E048C">
        <w:pPr>
          <w:pStyle w:val="Voettekst"/>
        </w:pPr>
        <w:r w:rsidRPr="002D7269">
          <w:t xml:space="preserve">                        </w:t>
        </w:r>
        <w:r w:rsidR="00246308" w:rsidRPr="002D7269">
          <w:t xml:space="preserve">                                                                                                                                                   </w:t>
        </w:r>
      </w:p>
      <w:p w14:paraId="5CA293A2" w14:textId="5DFA0C9C" w:rsidR="005355D4" w:rsidRPr="002D7269" w:rsidRDefault="00357A38" w:rsidP="006E048C">
        <w:pPr>
          <w:pStyle w:val="Voettekst"/>
        </w:pPr>
        <w:r w:rsidRPr="002D7269">
          <w:rPr>
            <w:sz w:val="16"/>
            <w:szCs w:val="16"/>
          </w:rPr>
          <w:t>Nutriënten terugwinning voor grondstoffenonafhankelijkheid en voedselsoevereiniteit</w:t>
        </w:r>
        <w:r w:rsidR="00246308" w:rsidRPr="002D7269">
          <w:t xml:space="preserve">  </w:t>
        </w:r>
        <w:r w:rsidRPr="002D7269">
          <w:t xml:space="preserve">                                                                 </w:t>
        </w:r>
        <w:r w:rsidR="00246308" w:rsidRPr="002D7269">
          <w:t xml:space="preserve"> </w:t>
        </w:r>
        <w:r w:rsidR="005355D4" w:rsidRPr="002D7269">
          <w:fldChar w:fldCharType="begin"/>
        </w:r>
        <w:r w:rsidR="005355D4" w:rsidRPr="002D7269">
          <w:instrText>PAGE   \* MERGEFORMAT</w:instrText>
        </w:r>
        <w:r w:rsidR="005355D4" w:rsidRPr="002D7269">
          <w:fldChar w:fldCharType="separate"/>
        </w:r>
        <w:r w:rsidR="005355D4" w:rsidRPr="002D7269">
          <w:t>2</w:t>
        </w:r>
        <w:r w:rsidR="005355D4" w:rsidRPr="002D7269">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0AD6" w14:textId="77777777" w:rsidR="008E18F4" w:rsidRPr="002D7269" w:rsidRDefault="008E18F4"/>
  <w:tbl>
    <w:tblPr>
      <w:tblStyle w:val="Tabelraster"/>
      <w:tblpPr w:vertAnchor="page" w:horzAnchor="page" w:tblpX="1419" w:tblpY="15140"/>
      <w:tblOverlap w:val="never"/>
      <w:tblW w:w="10201" w:type="dxa"/>
      <w:tblBorders>
        <w:top w:val="none" w:sz="0" w:space="0" w:color="auto"/>
        <w:left w:val="single" w:sz="4" w:space="0" w:color="00A9D6" w:themeColor="accent1"/>
        <w:bottom w:val="none" w:sz="0" w:space="0" w:color="auto"/>
        <w:right w:val="single" w:sz="4" w:space="0" w:color="00A9D6" w:themeColor="accent1"/>
        <w:insideH w:val="single" w:sz="4" w:space="0" w:color="00A9D6" w:themeColor="accent1"/>
        <w:insideV w:val="single" w:sz="4" w:space="0" w:color="00A9D6" w:themeColor="accent1"/>
      </w:tblBorders>
      <w:tblLayout w:type="fixed"/>
      <w:tblCellMar>
        <w:right w:w="0" w:type="dxa"/>
      </w:tblCellMar>
      <w:tblLook w:val="04A0" w:firstRow="1" w:lastRow="0" w:firstColumn="1" w:lastColumn="0" w:noHBand="0" w:noVBand="1"/>
    </w:tblPr>
    <w:tblGrid>
      <w:gridCol w:w="3024"/>
      <w:gridCol w:w="3024"/>
      <w:gridCol w:w="4153"/>
    </w:tblGrid>
    <w:tr w:rsidR="0036278D" w:rsidRPr="002D7269" w14:paraId="3E2F7C5A" w14:textId="77777777" w:rsidTr="000318C2">
      <w:trPr>
        <w:trHeight w:hRule="exact" w:val="510"/>
      </w:trPr>
      <w:tc>
        <w:tcPr>
          <w:tcW w:w="10201" w:type="dxa"/>
          <w:gridSpan w:val="3"/>
          <w:tcBorders>
            <w:top w:val="nil"/>
            <w:bottom w:val="nil"/>
            <w:right w:val="nil"/>
          </w:tcBorders>
        </w:tcPr>
        <w:p w14:paraId="503C8E64" w14:textId="1229627A" w:rsidR="0036278D" w:rsidRPr="002D7269" w:rsidRDefault="00911E83" w:rsidP="0036278D">
          <w:pPr>
            <w:pStyle w:val="Afzender"/>
            <w:rPr>
              <w:noProof w:val="0"/>
            </w:rPr>
          </w:pPr>
          <w:r w:rsidRPr="002D7269">
            <w:rPr>
              <w:noProof w:val="0"/>
            </w:rPr>
            <mc:AlternateContent>
              <mc:Choice Requires="wps">
                <w:drawing>
                  <wp:anchor distT="0" distB="0" distL="114300" distR="114300" simplePos="0" relativeHeight="251667456" behindDoc="0" locked="0" layoutInCell="1" allowOverlap="1" wp14:anchorId="59C43280" wp14:editId="56D231D0">
                    <wp:simplePos x="0" y="0"/>
                    <wp:positionH relativeFrom="page">
                      <wp:posOffset>5028151</wp:posOffset>
                    </wp:positionH>
                    <wp:positionV relativeFrom="page">
                      <wp:posOffset>-38100</wp:posOffset>
                    </wp:positionV>
                    <wp:extent cx="720000" cy="216000"/>
                    <wp:effectExtent l="0" t="0" r="4445" b="0"/>
                    <wp:wrapNone/>
                    <wp:docPr id="6" name="Text Box 6"/>
                    <wp:cNvGraphicFramePr/>
                    <a:graphic xmlns:a="http://schemas.openxmlformats.org/drawingml/2006/main">
                      <a:graphicData uri="http://schemas.microsoft.com/office/word/2010/wordprocessingShape">
                        <wps:wsp>
                          <wps:cNvSpPr txBox="1"/>
                          <wps:spPr>
                            <a:xfrm>
                              <a:off x="0" y="0"/>
                              <a:ext cx="720000" cy="216000"/>
                            </a:xfrm>
                            <a:prstGeom prst="rect">
                              <a:avLst/>
                            </a:prstGeom>
                            <a:noFill/>
                            <a:ln w="6350">
                              <a:noFill/>
                            </a:ln>
                          </wps:spPr>
                          <wps:txbx>
                            <w:txbxContent>
                              <w:p w14:paraId="6E457F12" w14:textId="77777777" w:rsidR="00911E83" w:rsidRPr="002D7269" w:rsidRDefault="00911E83" w:rsidP="00911E83">
                                <w:pPr>
                                  <w:jc w:val="right"/>
                                </w:pPr>
                                <w:r w:rsidRPr="002D7269">
                                  <w:fldChar w:fldCharType="begin"/>
                                </w:r>
                                <w:r w:rsidRPr="002D7269">
                                  <w:instrText xml:space="preserve"> PAGE  \* MERGEFORMAT </w:instrText>
                                </w:r>
                                <w:r w:rsidRPr="002D7269">
                                  <w:fldChar w:fldCharType="separate"/>
                                </w:r>
                                <w:r w:rsidRPr="002D7269">
                                  <w:t>2</w:t>
                                </w:r>
                                <w:r w:rsidRPr="002D7269">
                                  <w:fldChar w:fldCharType="end"/>
                                </w:r>
                                <w:r w:rsidRPr="002D7269">
                                  <w:t>/</w:t>
                                </w:r>
                                <w:fldSimple w:instr=" NUMPAGES  \* MERGEFORMAT ">
                                  <w:r w:rsidRPr="002D7269">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43280" id="_x0000_t202" coordsize="21600,21600" o:spt="202" path="m,l,21600r21600,l21600,xe">
                    <v:stroke joinstyle="miter"/>
                    <v:path gradientshapeok="t" o:connecttype="rect"/>
                  </v:shapetype>
                  <v:shape id="Text Box 6" o:spid="_x0000_s1029" type="#_x0000_t202" style="position:absolute;margin-left:395.9pt;margin-top:-3pt;width:56.7pt;height:1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" filled="f" stroked="f" strokeweight=".5pt">
                    <v:textbox inset="0,0,0,0">
                      <w:txbxContent>
                        <w:p w14:paraId="6E457F12" w14:textId="77777777" w:rsidR="00911E83" w:rsidRPr="002D7269" w:rsidRDefault="00911E83" w:rsidP="00911E83">
                          <w:pPr>
                            <w:jc w:val="right"/>
                          </w:pPr>
                          <w:r w:rsidRPr="002D7269">
                            <w:fldChar w:fldCharType="begin"/>
                          </w:r>
                          <w:r w:rsidRPr="002D7269">
                            <w:instrText xml:space="preserve"> PAGE  \* MERGEFORMAT </w:instrText>
                          </w:r>
                          <w:r w:rsidRPr="002D7269">
                            <w:fldChar w:fldCharType="separate"/>
                          </w:r>
                          <w:r w:rsidRPr="002D7269">
                            <w:t>2</w:t>
                          </w:r>
                          <w:r w:rsidRPr="002D7269">
                            <w:fldChar w:fldCharType="end"/>
                          </w:r>
                          <w:r w:rsidRPr="002D7269">
                            <w:t>/</w:t>
                          </w:r>
                          <w:fldSimple w:instr=" NUMPAGES  \* MERGEFORMAT ">
                            <w:r w:rsidRPr="002D7269">
                              <w:t>2</w:t>
                            </w:r>
                          </w:fldSimple>
                        </w:p>
                      </w:txbxContent>
                    </v:textbox>
                    <w10:wrap anchorx="page" anchory="page"/>
                  </v:shape>
                </w:pict>
              </mc:Fallback>
            </mc:AlternateContent>
          </w:r>
        </w:p>
      </w:tc>
    </w:tr>
    <w:tr w:rsidR="00171D03" w:rsidRPr="002D7269" w14:paraId="47061EB7" w14:textId="77777777" w:rsidTr="000318C2">
      <w:trPr>
        <w:trHeight w:hRule="exact" w:val="200"/>
      </w:trPr>
      <w:tc>
        <w:tcPr>
          <w:tcW w:w="10201" w:type="dxa"/>
          <w:gridSpan w:val="3"/>
          <w:tcBorders>
            <w:top w:val="nil"/>
            <w:bottom w:val="nil"/>
            <w:right w:val="nil"/>
          </w:tcBorders>
        </w:tcPr>
        <w:p w14:paraId="4BD1B47E" w14:textId="77777777" w:rsidR="00171D03" w:rsidRPr="002D7269" w:rsidRDefault="00171D03" w:rsidP="0036278D">
          <w:pPr>
            <w:pStyle w:val="Afzender"/>
            <w:rPr>
              <w:noProof w:val="0"/>
            </w:rPr>
          </w:pPr>
        </w:p>
      </w:tc>
    </w:tr>
    <w:tr w:rsidR="00296343" w:rsidRPr="002D7269" w14:paraId="3D7852D6" w14:textId="77777777" w:rsidTr="000318C2">
      <w:trPr>
        <w:trHeight w:hRule="exact" w:val="794"/>
      </w:trPr>
      <w:tc>
        <w:tcPr>
          <w:tcW w:w="3024" w:type="dxa"/>
          <w:tcBorders>
            <w:top w:val="nil"/>
          </w:tcBorders>
        </w:tcPr>
        <w:p w14:paraId="5066E733" w14:textId="77777777" w:rsidR="00296343" w:rsidRPr="002D7269" w:rsidRDefault="008E18F4" w:rsidP="006C21AA">
          <w:pPr>
            <w:pStyle w:val="Afzender"/>
            <w:rPr>
              <w:noProof w:val="0"/>
            </w:rPr>
          </w:pPr>
          <w:r w:rsidRPr="002D7269">
            <w:rPr>
              <w:noProof w:val="0"/>
            </w:rPr>
            <w:t>Nutrient Platform</w:t>
          </w:r>
        </w:p>
        <w:p w14:paraId="5DBB292B" w14:textId="77777777" w:rsidR="008E18F4" w:rsidRPr="002D7269" w:rsidRDefault="008E18F4" w:rsidP="006C21AA">
          <w:pPr>
            <w:pStyle w:val="Afzender"/>
            <w:rPr>
              <w:noProof w:val="0"/>
            </w:rPr>
          </w:pPr>
          <w:proofErr w:type="gramStart"/>
          <w:r w:rsidRPr="002D7269">
            <w:rPr>
              <w:noProof w:val="0"/>
            </w:rPr>
            <w:t>p</w:t>
          </w:r>
          <w:proofErr w:type="gramEnd"/>
          <w:r w:rsidRPr="002D7269">
            <w:rPr>
              <w:noProof w:val="0"/>
            </w:rPr>
            <w:t>/a Netherlands Water Partnership</w:t>
          </w:r>
        </w:p>
        <w:p w14:paraId="703F1C90" w14:textId="77777777" w:rsidR="008E18F4" w:rsidRPr="002D7269" w:rsidRDefault="008E18F4" w:rsidP="006C21AA">
          <w:pPr>
            <w:pStyle w:val="Afzender"/>
            <w:rPr>
              <w:noProof w:val="0"/>
            </w:rPr>
          </w:pPr>
          <w:r w:rsidRPr="002D7269">
            <w:rPr>
              <w:noProof w:val="0"/>
            </w:rPr>
            <w:t>Koningskade 40</w:t>
          </w:r>
        </w:p>
        <w:p w14:paraId="0D709C3E" w14:textId="0BAB5AE2" w:rsidR="008E18F4" w:rsidRPr="002D7269" w:rsidRDefault="008E18F4" w:rsidP="006C21AA">
          <w:pPr>
            <w:pStyle w:val="Afzender"/>
            <w:rPr>
              <w:noProof w:val="0"/>
            </w:rPr>
          </w:pPr>
          <w:r w:rsidRPr="002D7269">
            <w:rPr>
              <w:noProof w:val="0"/>
            </w:rPr>
            <w:t>2596 AA  DEN HAAG</w:t>
          </w:r>
        </w:p>
      </w:tc>
      <w:tc>
        <w:tcPr>
          <w:tcW w:w="3024" w:type="dxa"/>
          <w:tcBorders>
            <w:top w:val="nil"/>
          </w:tcBorders>
        </w:tcPr>
        <w:p w14:paraId="3426A282" w14:textId="72C9D61F" w:rsidR="00296343" w:rsidRPr="002D7269" w:rsidRDefault="00296343" w:rsidP="0036278D">
          <w:pPr>
            <w:pStyle w:val="Afzender"/>
            <w:rPr>
              <w:noProof w:val="0"/>
            </w:rPr>
          </w:pPr>
          <w:r w:rsidRPr="002D7269">
            <w:rPr>
              <w:noProof w:val="0"/>
            </w:rPr>
            <w:t>+31 (0)70 304 37 0</w:t>
          </w:r>
          <w:r w:rsidR="00171D03" w:rsidRPr="002D7269">
            <w:rPr>
              <w:noProof w:val="0"/>
            </w:rPr>
            <w:t>7</w:t>
          </w:r>
        </w:p>
        <w:p w14:paraId="4935209B" w14:textId="50ADACDB" w:rsidR="00296343" w:rsidRPr="002D7269" w:rsidRDefault="00FF28EC" w:rsidP="0036278D">
          <w:pPr>
            <w:pStyle w:val="Afzender"/>
            <w:rPr>
              <w:noProof w:val="0"/>
            </w:rPr>
          </w:pPr>
          <w:proofErr w:type="gramStart"/>
          <w:r w:rsidRPr="002D7269">
            <w:rPr>
              <w:noProof w:val="0"/>
            </w:rPr>
            <w:t>info@nutrientplatform.org</w:t>
          </w:r>
          <w:proofErr w:type="gramEnd"/>
        </w:p>
        <w:p w14:paraId="63EF3952" w14:textId="6FF68F25" w:rsidR="00296343" w:rsidRPr="002D7269" w:rsidRDefault="00296343" w:rsidP="006C21AA">
          <w:pPr>
            <w:pStyle w:val="Afzender"/>
            <w:rPr>
              <w:noProof w:val="0"/>
            </w:rPr>
          </w:pPr>
        </w:p>
      </w:tc>
      <w:tc>
        <w:tcPr>
          <w:tcW w:w="4153" w:type="dxa"/>
          <w:tcBorders>
            <w:top w:val="nil"/>
          </w:tcBorders>
        </w:tcPr>
        <w:p w14:paraId="6B9E92F3" w14:textId="3D940273" w:rsidR="00296343" w:rsidRPr="002D7269" w:rsidRDefault="000318C2" w:rsidP="0036278D">
          <w:pPr>
            <w:pStyle w:val="Afzender"/>
            <w:rPr>
              <w:noProof w:val="0"/>
            </w:rPr>
          </w:pPr>
          <w:r w:rsidRPr="002D7269">
            <w:rPr>
              <w:b/>
              <w:bCs/>
              <w:noProof w:val="0"/>
            </w:rPr>
            <w:t>I</w:t>
          </w:r>
          <w:r w:rsidRPr="002D7269">
            <w:rPr>
              <w:noProof w:val="0"/>
            </w:rPr>
            <w:t> </w:t>
          </w:r>
          <w:hyperlink r:id="rId1" w:history="1">
            <w:r w:rsidRPr="002D7269">
              <w:rPr>
                <w:rStyle w:val="Hyperlink"/>
                <w:noProof w:val="0"/>
              </w:rPr>
              <w:t>www.nutrientplatform.org</w:t>
            </w:r>
          </w:hyperlink>
          <w:r w:rsidRPr="002D7269">
            <w:rPr>
              <w:noProof w:val="0"/>
            </w:rPr>
            <w:t> / </w:t>
          </w:r>
          <w:hyperlink r:id="rId2" w:history="1">
            <w:r w:rsidRPr="002D7269">
              <w:rPr>
                <w:rStyle w:val="Hyperlink"/>
                <w:noProof w:val="0"/>
              </w:rPr>
              <w:t>www.phosphorusplatform.eu</w:t>
            </w:r>
          </w:hyperlink>
          <w:r w:rsidRPr="002D7269">
            <w:rPr>
              <w:noProof w:val="0"/>
            </w:rPr>
            <w:br/>
          </w:r>
          <w:r w:rsidRPr="002D7269">
            <w:rPr>
              <w:b/>
              <w:bCs/>
              <w:noProof w:val="0"/>
            </w:rPr>
            <w:t>T</w:t>
          </w:r>
          <w:r w:rsidRPr="002D7269">
            <w:rPr>
              <w:noProof w:val="0"/>
            </w:rPr>
            <w:t> @NutrientP</w:t>
          </w:r>
        </w:p>
      </w:tc>
    </w:tr>
  </w:tbl>
  <w:p w14:paraId="4C0EBE92" w14:textId="77777777" w:rsidR="007D5CC6" w:rsidRPr="002D7269" w:rsidRDefault="007D5CC6">
    <w:pPr>
      <w:pStyle w:val="Voettekst"/>
    </w:pPr>
  </w:p>
  <w:p w14:paraId="6CB1D747" w14:textId="77777777" w:rsidR="00826E6D" w:rsidRPr="002D7269" w:rsidRDefault="00826E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219C" w14:textId="77777777" w:rsidR="007F2971" w:rsidRPr="002D7269" w:rsidRDefault="007F2971" w:rsidP="00B4731D">
      <w:pPr>
        <w:spacing w:line="240" w:lineRule="auto"/>
      </w:pPr>
      <w:r w:rsidRPr="002D7269">
        <w:separator/>
      </w:r>
    </w:p>
  </w:footnote>
  <w:footnote w:type="continuationSeparator" w:id="0">
    <w:p w14:paraId="05C7B184" w14:textId="77777777" w:rsidR="007F2971" w:rsidRPr="002D7269" w:rsidRDefault="007F2971" w:rsidP="00B4731D">
      <w:pPr>
        <w:spacing w:line="240" w:lineRule="auto"/>
      </w:pPr>
      <w:r w:rsidRPr="002D7269">
        <w:continuationSeparator/>
      </w:r>
    </w:p>
  </w:footnote>
  <w:footnote w:id="1">
    <w:p w14:paraId="0C6A7C68" w14:textId="77777777" w:rsidR="009858C3" w:rsidRPr="00455736" w:rsidRDefault="009858C3" w:rsidP="009858C3">
      <w:pPr>
        <w:pStyle w:val="Voetnoottekst"/>
        <w:rPr>
          <w:sz w:val="18"/>
          <w:szCs w:val="18"/>
        </w:rPr>
      </w:pPr>
      <w:r w:rsidRPr="00455736">
        <w:rPr>
          <w:rStyle w:val="Voetnootmarkering"/>
          <w:sz w:val="18"/>
          <w:szCs w:val="18"/>
        </w:rPr>
        <w:footnoteRef/>
      </w:r>
      <w:r w:rsidRPr="00455736">
        <w:rPr>
          <w:sz w:val="18"/>
          <w:szCs w:val="18"/>
        </w:rPr>
        <w:t xml:space="preserve"> Indirect hebben veel van de nutriënten in dierlijke mest ook minerale oorsprong dankzij veevoer import. Voor de teelt van dit veevoer worden namelijk veel minerale meststoffen gebruikt.</w:t>
      </w:r>
    </w:p>
  </w:footnote>
  <w:footnote w:id="2">
    <w:p w14:paraId="29EFD7F9" w14:textId="5F9332DD" w:rsidR="00C16580" w:rsidRPr="00455736" w:rsidRDefault="00C16580">
      <w:pPr>
        <w:pStyle w:val="Voetnoottekst"/>
        <w:rPr>
          <w:sz w:val="18"/>
          <w:szCs w:val="18"/>
        </w:rPr>
      </w:pPr>
      <w:r w:rsidRPr="00455736">
        <w:rPr>
          <w:rStyle w:val="Voetnootmarkering"/>
          <w:sz w:val="18"/>
          <w:szCs w:val="18"/>
        </w:rPr>
        <w:footnoteRef/>
      </w:r>
      <w:r w:rsidRPr="00455736">
        <w:rPr>
          <w:sz w:val="18"/>
          <w:szCs w:val="18"/>
        </w:rPr>
        <w:t xml:space="preserve"> </w:t>
      </w:r>
      <w:hyperlink r:id="rId1" w:history="1">
        <w:proofErr w:type="spellStart"/>
        <w:r w:rsidRPr="00455736">
          <w:rPr>
            <w:rStyle w:val="Hyperlink"/>
            <w:sz w:val="18"/>
            <w:szCs w:val="18"/>
          </w:rPr>
          <w:t>Fertilizers</w:t>
        </w:r>
        <w:proofErr w:type="spellEnd"/>
        <w:r w:rsidRPr="00455736">
          <w:rPr>
            <w:rStyle w:val="Hyperlink"/>
            <w:sz w:val="18"/>
            <w:szCs w:val="18"/>
          </w:rPr>
          <w:t xml:space="preserve"> Europe – Beyond Gas, </w:t>
        </w:r>
        <w:proofErr w:type="spellStart"/>
        <w:r w:rsidRPr="00455736">
          <w:rPr>
            <w:rStyle w:val="Hyperlink"/>
            <w:sz w:val="18"/>
            <w:szCs w:val="18"/>
          </w:rPr>
          <w:t>the</w:t>
        </w:r>
        <w:proofErr w:type="spellEnd"/>
        <w:r w:rsidRPr="00455736">
          <w:rPr>
            <w:rStyle w:val="Hyperlink"/>
            <w:sz w:val="18"/>
            <w:szCs w:val="18"/>
          </w:rPr>
          <w:t xml:space="preserve"> risk of </w:t>
        </w:r>
        <w:proofErr w:type="spellStart"/>
        <w:r w:rsidRPr="00455736">
          <w:rPr>
            <w:rStyle w:val="Hyperlink"/>
            <w:sz w:val="18"/>
            <w:szCs w:val="18"/>
          </w:rPr>
          <w:t>fertilizer</w:t>
        </w:r>
        <w:proofErr w:type="spellEnd"/>
        <w:r w:rsidRPr="00455736">
          <w:rPr>
            <w:rStyle w:val="Hyperlink"/>
            <w:sz w:val="18"/>
            <w:szCs w:val="18"/>
          </w:rPr>
          <w:t xml:space="preserve"> </w:t>
        </w:r>
        <w:proofErr w:type="spellStart"/>
        <w:r w:rsidRPr="00455736">
          <w:rPr>
            <w:rStyle w:val="Hyperlink"/>
            <w:sz w:val="18"/>
            <w:szCs w:val="18"/>
          </w:rPr>
          <w:t>dependence</w:t>
        </w:r>
        <w:proofErr w:type="spellEnd"/>
        <w:r w:rsidRPr="00455736">
          <w:rPr>
            <w:rStyle w:val="Hyperlink"/>
            <w:sz w:val="18"/>
            <w:szCs w:val="18"/>
          </w:rPr>
          <w:t xml:space="preserve"> </w:t>
        </w:r>
        <w:proofErr w:type="spellStart"/>
        <w:r w:rsidRPr="00455736">
          <w:rPr>
            <w:rStyle w:val="Hyperlink"/>
            <w:sz w:val="18"/>
            <w:szCs w:val="18"/>
          </w:rPr>
          <w:t>for</w:t>
        </w:r>
        <w:proofErr w:type="spellEnd"/>
        <w:r w:rsidRPr="00455736">
          <w:rPr>
            <w:rStyle w:val="Hyperlink"/>
            <w:sz w:val="18"/>
            <w:szCs w:val="18"/>
          </w:rPr>
          <w:t xml:space="preserve"> </w:t>
        </w:r>
        <w:proofErr w:type="spellStart"/>
        <w:r w:rsidRPr="00455736">
          <w:rPr>
            <w:rStyle w:val="Hyperlink"/>
            <w:sz w:val="18"/>
            <w:szCs w:val="18"/>
          </w:rPr>
          <w:t>the</w:t>
        </w:r>
        <w:proofErr w:type="spellEnd"/>
        <w:r w:rsidRPr="00455736">
          <w:rPr>
            <w:rStyle w:val="Hyperlink"/>
            <w:sz w:val="18"/>
            <w:szCs w:val="18"/>
          </w:rPr>
          <w:t xml:space="preserve"> EU</w:t>
        </w:r>
      </w:hyperlink>
    </w:p>
  </w:footnote>
  <w:footnote w:id="3">
    <w:p w14:paraId="112BFE8F" w14:textId="737D3389" w:rsidR="00C16580" w:rsidRPr="00455736" w:rsidRDefault="00C16580">
      <w:pPr>
        <w:pStyle w:val="Voetnoottekst"/>
        <w:rPr>
          <w:sz w:val="18"/>
          <w:szCs w:val="18"/>
        </w:rPr>
      </w:pPr>
      <w:r w:rsidRPr="00455736">
        <w:rPr>
          <w:rStyle w:val="Voetnootmarkering"/>
          <w:sz w:val="18"/>
          <w:szCs w:val="18"/>
        </w:rPr>
        <w:footnoteRef/>
      </w:r>
      <w:r w:rsidRPr="00455736">
        <w:rPr>
          <w:sz w:val="18"/>
          <w:szCs w:val="18"/>
        </w:rPr>
        <w:t xml:space="preserve"> </w:t>
      </w:r>
      <w:r w:rsidR="00B63556" w:rsidRPr="00455736">
        <w:rPr>
          <w:sz w:val="18"/>
          <w:szCs w:val="18"/>
        </w:rPr>
        <w:t xml:space="preserve">In 2024 kwam 29% van totale EU-import voor minerale meststoffen en grondstoffen hiervoor uit Rusland. Een groot deel hiervan is stikstof en kalium, maar ook 10% van alle fosfaat import komt hier vandaan. </w:t>
      </w:r>
      <w:hyperlink r:id="rId2" w:history="1">
        <w:r w:rsidR="00B63556" w:rsidRPr="00455736">
          <w:rPr>
            <w:rStyle w:val="Hyperlink"/>
            <w:sz w:val="18"/>
            <w:szCs w:val="18"/>
          </w:rPr>
          <w:t xml:space="preserve">EU </w:t>
        </w:r>
        <w:proofErr w:type="spellStart"/>
        <w:r w:rsidR="00B63556" w:rsidRPr="00455736">
          <w:rPr>
            <w:rStyle w:val="Hyperlink"/>
            <w:sz w:val="18"/>
            <w:szCs w:val="18"/>
          </w:rPr>
          <w:t>Fertilizer</w:t>
        </w:r>
        <w:proofErr w:type="spellEnd"/>
        <w:r w:rsidR="00B63556" w:rsidRPr="00455736">
          <w:rPr>
            <w:rStyle w:val="Hyperlink"/>
            <w:sz w:val="18"/>
            <w:szCs w:val="18"/>
          </w:rPr>
          <w:t xml:space="preserve"> </w:t>
        </w:r>
        <w:proofErr w:type="spellStart"/>
        <w:r w:rsidR="00B63556" w:rsidRPr="00455736">
          <w:rPr>
            <w:rStyle w:val="Hyperlink"/>
            <w:sz w:val="18"/>
            <w:szCs w:val="18"/>
          </w:rPr>
          <w:t>trade</w:t>
        </w:r>
        <w:proofErr w:type="spellEnd"/>
        <w:r w:rsidR="00B63556" w:rsidRPr="00455736">
          <w:rPr>
            <w:rStyle w:val="Hyperlink"/>
            <w:sz w:val="18"/>
            <w:szCs w:val="18"/>
          </w:rPr>
          <w:t xml:space="preserve"> – </w:t>
        </w:r>
        <w:proofErr w:type="spellStart"/>
        <w:r w:rsidR="00B63556" w:rsidRPr="00455736">
          <w:rPr>
            <w:rStyle w:val="Hyperlink"/>
            <w:sz w:val="18"/>
            <w:szCs w:val="18"/>
          </w:rPr>
          <w:t>Agridata</w:t>
        </w:r>
        <w:proofErr w:type="spellEnd"/>
        <w:r w:rsidR="00B63556" w:rsidRPr="00455736">
          <w:rPr>
            <w:rStyle w:val="Hyperlink"/>
            <w:sz w:val="18"/>
            <w:szCs w:val="18"/>
          </w:rPr>
          <w:t xml:space="preserve">, </w:t>
        </w:r>
        <w:proofErr w:type="spellStart"/>
        <w:r w:rsidR="00B63556" w:rsidRPr="00455736">
          <w:rPr>
            <w:rStyle w:val="Hyperlink"/>
            <w:sz w:val="18"/>
            <w:szCs w:val="18"/>
          </w:rPr>
          <w:t>Eurostat</w:t>
        </w:r>
        <w:proofErr w:type="spellEnd"/>
      </w:hyperlink>
    </w:p>
  </w:footnote>
  <w:footnote w:id="4">
    <w:p w14:paraId="018B9277" w14:textId="69B696C6" w:rsidR="00B63556" w:rsidRPr="00455736" w:rsidRDefault="00B63556">
      <w:pPr>
        <w:pStyle w:val="Voetnoottekst"/>
        <w:rPr>
          <w:sz w:val="18"/>
          <w:szCs w:val="18"/>
        </w:rPr>
      </w:pPr>
      <w:r w:rsidRPr="00455736">
        <w:rPr>
          <w:rStyle w:val="Voetnootmarkering"/>
          <w:sz w:val="18"/>
          <w:szCs w:val="18"/>
        </w:rPr>
        <w:footnoteRef/>
      </w:r>
      <w:r w:rsidRPr="00455736">
        <w:rPr>
          <w:sz w:val="18"/>
          <w:szCs w:val="18"/>
        </w:rPr>
        <w:t xml:space="preserve"> </w:t>
      </w:r>
      <w:hyperlink r:id="rId3" w:history="1">
        <w:r w:rsidRPr="00455736">
          <w:rPr>
            <w:rStyle w:val="Hyperlink"/>
            <w:sz w:val="18"/>
            <w:szCs w:val="18"/>
          </w:rPr>
          <w:t xml:space="preserve">Alberto Persona – The </w:t>
        </w:r>
        <w:proofErr w:type="spellStart"/>
        <w:r w:rsidRPr="00455736">
          <w:rPr>
            <w:rStyle w:val="Hyperlink"/>
            <w:sz w:val="18"/>
            <w:szCs w:val="18"/>
          </w:rPr>
          <w:t>EU’s</w:t>
        </w:r>
        <w:proofErr w:type="spellEnd"/>
        <w:r w:rsidRPr="00455736">
          <w:rPr>
            <w:rStyle w:val="Hyperlink"/>
            <w:sz w:val="18"/>
            <w:szCs w:val="18"/>
          </w:rPr>
          <w:t xml:space="preserve"> </w:t>
        </w:r>
        <w:proofErr w:type="spellStart"/>
        <w:r w:rsidRPr="00455736">
          <w:rPr>
            <w:rStyle w:val="Hyperlink"/>
            <w:sz w:val="18"/>
            <w:szCs w:val="18"/>
          </w:rPr>
          <w:t>Phosphate</w:t>
        </w:r>
        <w:proofErr w:type="spellEnd"/>
        <w:r w:rsidRPr="00455736">
          <w:rPr>
            <w:rStyle w:val="Hyperlink"/>
            <w:sz w:val="18"/>
            <w:szCs w:val="18"/>
          </w:rPr>
          <w:t xml:space="preserve"> </w:t>
        </w:r>
        <w:proofErr w:type="spellStart"/>
        <w:r w:rsidRPr="00455736">
          <w:rPr>
            <w:rStyle w:val="Hyperlink"/>
            <w:sz w:val="18"/>
            <w:szCs w:val="18"/>
          </w:rPr>
          <w:t>Conundrum</w:t>
        </w:r>
        <w:proofErr w:type="spellEnd"/>
        <w:r w:rsidRPr="00455736">
          <w:rPr>
            <w:rStyle w:val="Hyperlink"/>
            <w:sz w:val="18"/>
            <w:szCs w:val="18"/>
          </w:rPr>
          <w:t xml:space="preserve"> (15 april 2025)</w:t>
        </w:r>
      </w:hyperlink>
    </w:p>
    <w:p w14:paraId="08EA7F05" w14:textId="77777777" w:rsidR="00B63556" w:rsidRPr="002D7269" w:rsidRDefault="00B63556">
      <w:pPr>
        <w:pStyle w:val="Voetnoottekst"/>
      </w:pPr>
    </w:p>
  </w:footnote>
  <w:footnote w:id="5">
    <w:p w14:paraId="72872720" w14:textId="11036F2C" w:rsidR="003760FF" w:rsidRPr="00F6121C" w:rsidRDefault="003760FF">
      <w:pPr>
        <w:pStyle w:val="Voetnoottekst"/>
        <w:rPr>
          <w:sz w:val="18"/>
          <w:szCs w:val="18"/>
        </w:rPr>
      </w:pPr>
      <w:r w:rsidRPr="00F6121C">
        <w:rPr>
          <w:rStyle w:val="Voetnootmarkering"/>
          <w:sz w:val="18"/>
          <w:szCs w:val="18"/>
        </w:rPr>
        <w:footnoteRef/>
      </w:r>
      <w:r w:rsidRPr="00F6121C">
        <w:rPr>
          <w:sz w:val="18"/>
          <w:szCs w:val="18"/>
        </w:rPr>
        <w:t xml:space="preserve"> </w:t>
      </w:r>
      <w:hyperlink r:id="rId4" w:history="1">
        <w:r w:rsidRPr="00F6121C">
          <w:rPr>
            <w:rStyle w:val="Hyperlink"/>
            <w:sz w:val="18"/>
            <w:szCs w:val="18"/>
          </w:rPr>
          <w:t>Rijksinstituut voor Volksgezondheid en Milieu RIVM – Landbouwpraktijk en waterkwaliteit in Nederland</w:t>
        </w:r>
      </w:hyperlink>
    </w:p>
  </w:footnote>
  <w:footnote w:id="6">
    <w:p w14:paraId="1DD52BF9" w14:textId="009FFD01" w:rsidR="002D761C" w:rsidRPr="00F6121C" w:rsidRDefault="002D761C">
      <w:pPr>
        <w:pStyle w:val="Voetnoottekst"/>
        <w:rPr>
          <w:sz w:val="18"/>
          <w:szCs w:val="18"/>
        </w:rPr>
      </w:pPr>
      <w:r w:rsidRPr="00F6121C">
        <w:rPr>
          <w:rStyle w:val="Voetnootmarkering"/>
          <w:sz w:val="18"/>
          <w:szCs w:val="18"/>
        </w:rPr>
        <w:footnoteRef/>
      </w:r>
      <w:r w:rsidRPr="00F6121C">
        <w:rPr>
          <w:sz w:val="18"/>
          <w:szCs w:val="18"/>
        </w:rPr>
        <w:t xml:space="preserve"> </w:t>
      </w:r>
      <w:hyperlink r:id="rId5" w:anchor="/CBS/nl/dataset/7477/table?ts=1742999698855" w:history="1">
        <w:proofErr w:type="spellStart"/>
        <w:r w:rsidRPr="00F6121C">
          <w:rPr>
            <w:rStyle w:val="Hyperlink"/>
            <w:sz w:val="18"/>
            <w:szCs w:val="18"/>
          </w:rPr>
          <w:t>StatLine</w:t>
        </w:r>
        <w:proofErr w:type="spellEnd"/>
        <w:r w:rsidRPr="00F6121C">
          <w:rPr>
            <w:rStyle w:val="Hyperlink"/>
            <w:sz w:val="18"/>
            <w:szCs w:val="18"/>
          </w:rPr>
          <w:t xml:space="preserve"> - Zuivering van stedelijk afvalwater; per provincie en stroomgebied</w:t>
        </w:r>
        <w:r w:rsidR="00CF2A5F" w:rsidRPr="00F6121C">
          <w:rPr>
            <w:rStyle w:val="Hyperlink"/>
            <w:sz w:val="18"/>
            <w:szCs w:val="18"/>
          </w:rPr>
          <w:t xml:space="preserve"> </w:t>
        </w:r>
        <w:r w:rsidRPr="00F6121C">
          <w:rPr>
            <w:rStyle w:val="Hyperlink"/>
            <w:sz w:val="18"/>
            <w:szCs w:val="18"/>
          </w:rPr>
          <w:t>district</w:t>
        </w:r>
      </w:hyperlink>
      <w:r w:rsidRPr="00F6121C">
        <w:rPr>
          <w:sz w:val="18"/>
          <w:szCs w:val="18"/>
        </w:rPr>
        <w:t>.</w:t>
      </w:r>
    </w:p>
  </w:footnote>
  <w:footnote w:id="7">
    <w:p w14:paraId="4F8F3B30" w14:textId="53DFC70E" w:rsidR="002D761C" w:rsidRPr="00F6121C" w:rsidRDefault="002D761C">
      <w:pPr>
        <w:pStyle w:val="Voetnoottekst"/>
        <w:rPr>
          <w:sz w:val="18"/>
          <w:szCs w:val="18"/>
        </w:rPr>
      </w:pPr>
      <w:r w:rsidRPr="00F6121C">
        <w:rPr>
          <w:rStyle w:val="Voetnootmarkering"/>
          <w:sz w:val="18"/>
          <w:szCs w:val="18"/>
        </w:rPr>
        <w:footnoteRef/>
      </w:r>
      <w:r w:rsidRPr="00F6121C">
        <w:rPr>
          <w:sz w:val="18"/>
          <w:szCs w:val="18"/>
        </w:rPr>
        <w:t xml:space="preserve"> Ongepubliceerde data uit TKI- KNAP, Kringloopsluiting </w:t>
      </w:r>
      <w:proofErr w:type="spellStart"/>
      <w:r w:rsidRPr="00F6121C">
        <w:rPr>
          <w:sz w:val="18"/>
          <w:szCs w:val="18"/>
        </w:rPr>
        <w:t>Nutrienten</w:t>
      </w:r>
      <w:proofErr w:type="spellEnd"/>
      <w:r w:rsidRPr="00F6121C">
        <w:rPr>
          <w:sz w:val="18"/>
          <w:szCs w:val="18"/>
        </w:rPr>
        <w:t xml:space="preserve"> uit Afval en Proceswater.</w:t>
      </w:r>
    </w:p>
  </w:footnote>
  <w:footnote w:id="8">
    <w:p w14:paraId="4A976DE8" w14:textId="3F8F7D8C" w:rsidR="00AB2586" w:rsidRPr="00F6121C" w:rsidRDefault="00AB2586">
      <w:pPr>
        <w:pStyle w:val="Voetnoottekst"/>
        <w:rPr>
          <w:sz w:val="18"/>
          <w:szCs w:val="18"/>
        </w:rPr>
      </w:pPr>
      <w:r w:rsidRPr="00F6121C">
        <w:rPr>
          <w:rStyle w:val="Voetnootmarkering"/>
          <w:sz w:val="18"/>
          <w:szCs w:val="18"/>
        </w:rPr>
        <w:footnoteRef/>
      </w:r>
      <w:r w:rsidRPr="00F6121C">
        <w:rPr>
          <w:sz w:val="18"/>
          <w:szCs w:val="18"/>
        </w:rPr>
        <w:t xml:space="preserve"> </w:t>
      </w:r>
      <w:hyperlink r:id="rId6" w:history="1">
        <w:r w:rsidRPr="00F6121C">
          <w:rPr>
            <w:rStyle w:val="Hyperlink"/>
            <w:sz w:val="18"/>
            <w:szCs w:val="18"/>
          </w:rPr>
          <w:t>Wageningen University &amp; Research – Verbruik van Kunstmest</w:t>
        </w:r>
      </w:hyperlink>
    </w:p>
  </w:footnote>
  <w:footnote w:id="9">
    <w:p w14:paraId="72A782C7" w14:textId="28ACA33A" w:rsidR="005F6593" w:rsidRPr="00F6121C" w:rsidRDefault="005F6593">
      <w:pPr>
        <w:pStyle w:val="Voetnoottekst"/>
        <w:rPr>
          <w:sz w:val="18"/>
          <w:szCs w:val="18"/>
        </w:rPr>
      </w:pPr>
      <w:r w:rsidRPr="00F6121C">
        <w:rPr>
          <w:rStyle w:val="Voetnootmarkering"/>
          <w:sz w:val="18"/>
          <w:szCs w:val="18"/>
        </w:rPr>
        <w:footnoteRef/>
      </w:r>
      <w:r w:rsidRPr="00F6121C">
        <w:rPr>
          <w:sz w:val="18"/>
          <w:szCs w:val="18"/>
        </w:rPr>
        <w:t xml:space="preserve"> </w:t>
      </w:r>
      <w:r w:rsidR="00CD450F" w:rsidRPr="00F6121C">
        <w:rPr>
          <w:sz w:val="18"/>
          <w:szCs w:val="18"/>
        </w:rPr>
        <w:t>K</w:t>
      </w:r>
      <w:r w:rsidRPr="00F6121C">
        <w:rPr>
          <w:sz w:val="18"/>
          <w:szCs w:val="18"/>
        </w:rPr>
        <w:t>alium stromen studie, KNAP project (</w:t>
      </w:r>
      <w:r w:rsidR="00CD450F" w:rsidRPr="00F6121C">
        <w:rPr>
          <w:sz w:val="18"/>
          <w:szCs w:val="18"/>
        </w:rPr>
        <w:t>publicatie in voorbereiding</w:t>
      </w:r>
      <w:r w:rsidRPr="00F6121C">
        <w:rPr>
          <w:sz w:val="18"/>
          <w:szCs w:val="18"/>
        </w:rPr>
        <w:t>)</w:t>
      </w:r>
    </w:p>
  </w:footnote>
  <w:footnote w:id="10">
    <w:p w14:paraId="17A87067" w14:textId="362D85D1" w:rsidR="00A95872" w:rsidRPr="00F6121C" w:rsidRDefault="00A95872">
      <w:pPr>
        <w:pStyle w:val="Voetnoottekst"/>
        <w:rPr>
          <w:sz w:val="18"/>
          <w:szCs w:val="18"/>
        </w:rPr>
      </w:pPr>
      <w:r w:rsidRPr="00F6121C">
        <w:rPr>
          <w:rStyle w:val="Voetnootmarkering"/>
          <w:sz w:val="18"/>
          <w:szCs w:val="18"/>
        </w:rPr>
        <w:footnoteRef/>
      </w:r>
      <w:r w:rsidRPr="00F6121C">
        <w:rPr>
          <w:sz w:val="18"/>
          <w:szCs w:val="18"/>
        </w:rPr>
        <w:t xml:space="preserve"> </w:t>
      </w:r>
      <w:proofErr w:type="spellStart"/>
      <w:r w:rsidR="001A320F" w:rsidRPr="00F6121C">
        <w:rPr>
          <w:sz w:val="18"/>
          <w:szCs w:val="18"/>
        </w:rPr>
        <w:t>Kimo</w:t>
      </w:r>
      <w:proofErr w:type="spellEnd"/>
      <w:r w:rsidR="001A320F" w:rsidRPr="00F6121C">
        <w:rPr>
          <w:sz w:val="18"/>
          <w:szCs w:val="18"/>
        </w:rPr>
        <w:t xml:space="preserve"> van Dijk, </w:t>
      </w:r>
      <w:r w:rsidR="00F445DE" w:rsidRPr="00F6121C">
        <w:rPr>
          <w:sz w:val="18"/>
          <w:szCs w:val="18"/>
        </w:rPr>
        <w:t xml:space="preserve">maart </w:t>
      </w:r>
      <w:r w:rsidR="001A320F" w:rsidRPr="00F6121C">
        <w:rPr>
          <w:sz w:val="18"/>
          <w:szCs w:val="18"/>
        </w:rPr>
        <w:t xml:space="preserve">2024,  </w:t>
      </w:r>
      <w:hyperlink r:id="rId7" w:history="1">
        <w:r w:rsidRPr="00F6121C">
          <w:rPr>
            <w:rStyle w:val="Hyperlink"/>
            <w:sz w:val="18"/>
            <w:szCs w:val="18"/>
          </w:rPr>
          <w:t xml:space="preserve">Project KNAP: Het lot van N in de communale afvalwaterketen en circulaire </w:t>
        </w:r>
        <w:proofErr w:type="spellStart"/>
        <w:r w:rsidRPr="00F6121C">
          <w:rPr>
            <w:rStyle w:val="Hyperlink"/>
            <w:sz w:val="18"/>
            <w:szCs w:val="18"/>
          </w:rPr>
          <w:t>sanitatie</w:t>
        </w:r>
        <w:proofErr w:type="spellEnd"/>
        <w:r w:rsidRPr="00F6121C">
          <w:rPr>
            <w:rStyle w:val="Hyperlink"/>
            <w:sz w:val="18"/>
            <w:szCs w:val="18"/>
          </w:rPr>
          <w:t>,</w:t>
        </w:r>
      </w:hyperlink>
      <w:r w:rsidR="00313CAB" w:rsidRPr="00F6121C">
        <w:rPr>
          <w:sz w:val="18"/>
          <w:szCs w:val="18"/>
        </w:rPr>
        <w:t xml:space="preserve"> presentatie op “lot van </w:t>
      </w:r>
      <w:proofErr w:type="spellStart"/>
      <w:r w:rsidR="00313CAB" w:rsidRPr="00F6121C">
        <w:rPr>
          <w:sz w:val="18"/>
          <w:szCs w:val="18"/>
        </w:rPr>
        <w:t>N”symposium</w:t>
      </w:r>
      <w:proofErr w:type="spellEnd"/>
      <w:r w:rsidR="00313CAB" w:rsidRPr="00F6121C">
        <w:rPr>
          <w:sz w:val="18"/>
          <w:szCs w:val="18"/>
        </w:rPr>
        <w:t>.</w:t>
      </w:r>
    </w:p>
  </w:footnote>
  <w:footnote w:id="11">
    <w:p w14:paraId="6D417BC4" w14:textId="6814266D" w:rsidR="00E1781B" w:rsidRPr="00311B8E" w:rsidRDefault="00E1781B">
      <w:pPr>
        <w:pStyle w:val="Voetnoottekst"/>
      </w:pPr>
      <w:r w:rsidRPr="00F6121C">
        <w:rPr>
          <w:rStyle w:val="Voetnootmarkering"/>
          <w:sz w:val="18"/>
          <w:szCs w:val="18"/>
        </w:rPr>
        <w:footnoteRef/>
      </w:r>
      <w:r w:rsidRPr="00F6121C">
        <w:rPr>
          <w:sz w:val="18"/>
          <w:szCs w:val="18"/>
        </w:rPr>
        <w:t xml:space="preserve"> </w:t>
      </w:r>
      <w:hyperlink r:id="rId8" w:history="1">
        <w:r w:rsidRPr="00F6121C">
          <w:rPr>
            <w:rStyle w:val="Hyperlink"/>
            <w:sz w:val="18"/>
            <w:szCs w:val="18"/>
          </w:rPr>
          <w:t>Nutrient Platform – Rapportage Integrale Circulaire Economie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85FB" w14:textId="7C1E7798" w:rsidR="00262CF7" w:rsidRPr="002D7269" w:rsidRDefault="00B63556">
    <w:pPr>
      <w:pStyle w:val="Koptekst"/>
    </w:pPr>
    <w:r w:rsidRPr="002D7269">
      <w:drawing>
        <wp:inline distT="0" distB="0" distL="0" distR="0" wp14:anchorId="532DE867" wp14:editId="46350C1C">
          <wp:extent cx="1195070" cy="963295"/>
          <wp:effectExtent l="0" t="0" r="5080" b="8255"/>
          <wp:docPr id="162429881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96329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69BD" w14:textId="4CE9AE9D" w:rsidR="00262CF7" w:rsidRPr="002D7269" w:rsidRDefault="00CC36BD">
    <w:pPr>
      <w:pStyle w:val="Koptekst"/>
    </w:pPr>
    <w:r w:rsidRPr="002D7269">
      <w:drawing>
        <wp:inline distT="0" distB="0" distL="0" distR="0" wp14:anchorId="62D5283C" wp14:editId="31956FAB">
          <wp:extent cx="1195070" cy="963295"/>
          <wp:effectExtent l="0" t="0" r="5080" b="8255"/>
          <wp:docPr id="16335356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C83696"/>
    <w:lvl w:ilvl="0">
      <w:start w:val="1"/>
      <w:numFmt w:val="decimal"/>
      <w:pStyle w:val="Lijstnummering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jstnummering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jstnummering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jstopsomteken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jstopsomteken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jstopsomteken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jstopsomteken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jstnummering"/>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jstopsomteken"/>
      <w:lvlText w:val=""/>
      <w:lvlJc w:val="left"/>
      <w:pPr>
        <w:tabs>
          <w:tab w:val="num" w:pos="284"/>
        </w:tabs>
        <w:ind w:left="284" w:hanging="284"/>
      </w:pPr>
      <w:rPr>
        <w:rFonts w:ascii="Symbol" w:hAnsi="Symbol" w:hint="default"/>
      </w:rPr>
    </w:lvl>
  </w:abstractNum>
  <w:abstractNum w:abstractNumId="10" w15:restartNumberingAfterBreak="0">
    <w:nsid w:val="01D02E76"/>
    <w:multiLevelType w:val="hybridMultilevel"/>
    <w:tmpl w:val="37B45352"/>
    <w:lvl w:ilvl="0" w:tplc="0FC8B93E">
      <w:start w:val="1"/>
      <w:numFmt w:val="bullet"/>
      <w:pStyle w:val="BulletN2line"/>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CE0954"/>
    <w:multiLevelType w:val="hybridMultilevel"/>
    <w:tmpl w:val="BBF897E0"/>
    <w:lvl w:ilvl="0" w:tplc="53BCA738">
      <w:start w:val="1"/>
      <w:numFmt w:val="bullet"/>
      <w:pStyle w:val="BulletN1"/>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676286"/>
    <w:multiLevelType w:val="hybridMultilevel"/>
    <w:tmpl w:val="0C8482A6"/>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6D64649"/>
    <w:multiLevelType w:val="hybridMultilevel"/>
    <w:tmpl w:val="325690EA"/>
    <w:lvl w:ilvl="0" w:tplc="04130001">
      <w:start w:val="1"/>
      <w:numFmt w:val="bullet"/>
      <w:lvlText w:val=""/>
      <w:lvlJc w:val="left"/>
      <w:pPr>
        <w:ind w:left="1080" w:hanging="360"/>
      </w:pPr>
      <w:rPr>
        <w:rFonts w:ascii="Symbol" w:hAnsi="Symbol" w:hint="default"/>
        <w:color w:val="000000" w:themeColor="text1"/>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2ACB57A7"/>
    <w:multiLevelType w:val="hybridMultilevel"/>
    <w:tmpl w:val="A860E8E6"/>
    <w:lvl w:ilvl="0" w:tplc="4852D38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341CE6"/>
    <w:multiLevelType w:val="hybridMultilevel"/>
    <w:tmpl w:val="CD4A4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4C560F"/>
    <w:multiLevelType w:val="hybridMultilevel"/>
    <w:tmpl w:val="919A648A"/>
    <w:lvl w:ilvl="0" w:tplc="8006D634">
      <w:numFmt w:val="bullet"/>
      <w:lvlText w:val="-"/>
      <w:lvlJc w:val="left"/>
      <w:pPr>
        <w:ind w:left="1080" w:hanging="360"/>
      </w:pPr>
      <w:rPr>
        <w:rFonts w:ascii="Aptos" w:eastAsia="Times New Roman" w:hAnsi="Aptos" w:cs="Times New Roman" w:hint="default"/>
        <w:b w:val="0"/>
        <w:bCs/>
        <w:color w:val="000000" w:themeColor="tex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C096678"/>
    <w:multiLevelType w:val="multilevel"/>
    <w:tmpl w:val="396A2952"/>
    <w:lvl w:ilvl="0">
      <w:numFmt w:val="bullet"/>
      <w:lvlText w:val="-"/>
      <w:lvlJc w:val="left"/>
      <w:pPr>
        <w:tabs>
          <w:tab w:val="num" w:pos="720"/>
        </w:tabs>
        <w:ind w:left="720" w:hanging="360"/>
      </w:pPr>
      <w:rPr>
        <w:rFonts w:ascii="Aptos" w:eastAsia="Times New Roman" w:hAnsi="Apto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39125E"/>
    <w:multiLevelType w:val="hybridMultilevel"/>
    <w:tmpl w:val="C898E990"/>
    <w:lvl w:ilvl="0" w:tplc="983CD980">
      <w:start w:val="1"/>
      <w:numFmt w:val="lowerLetter"/>
      <w:pStyle w:val="Numb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A5C8B"/>
    <w:multiLevelType w:val="hybridMultilevel"/>
    <w:tmpl w:val="E980565E"/>
    <w:lvl w:ilvl="0" w:tplc="32CABB2A">
      <w:start w:val="1"/>
      <w:numFmt w:val="decimal"/>
      <w:pStyle w:val="Numb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43C0F"/>
    <w:multiLevelType w:val="multilevel"/>
    <w:tmpl w:val="EFC63A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583D7E"/>
    <w:multiLevelType w:val="hybridMultilevel"/>
    <w:tmpl w:val="5E58AAE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2909299">
    <w:abstractNumId w:val="0"/>
  </w:num>
  <w:num w:numId="2" w16cid:durableId="351691892">
    <w:abstractNumId w:val="1"/>
  </w:num>
  <w:num w:numId="3" w16cid:durableId="394351834">
    <w:abstractNumId w:val="2"/>
  </w:num>
  <w:num w:numId="4" w16cid:durableId="1335839907">
    <w:abstractNumId w:val="3"/>
  </w:num>
  <w:num w:numId="5" w16cid:durableId="1979189284">
    <w:abstractNumId w:val="8"/>
  </w:num>
  <w:num w:numId="6" w16cid:durableId="1417048149">
    <w:abstractNumId w:val="4"/>
  </w:num>
  <w:num w:numId="7" w16cid:durableId="1057440065">
    <w:abstractNumId w:val="5"/>
  </w:num>
  <w:num w:numId="8" w16cid:durableId="1885561231">
    <w:abstractNumId w:val="6"/>
  </w:num>
  <w:num w:numId="9" w16cid:durableId="317730486">
    <w:abstractNumId w:val="7"/>
  </w:num>
  <w:num w:numId="10" w16cid:durableId="200632660">
    <w:abstractNumId w:val="9"/>
  </w:num>
  <w:num w:numId="11" w16cid:durableId="998121634">
    <w:abstractNumId w:val="10"/>
  </w:num>
  <w:num w:numId="12" w16cid:durableId="1816222080">
    <w:abstractNumId w:val="19"/>
  </w:num>
  <w:num w:numId="13" w16cid:durableId="1447846038">
    <w:abstractNumId w:val="11"/>
  </w:num>
  <w:num w:numId="14" w16cid:durableId="1045327164">
    <w:abstractNumId w:val="18"/>
  </w:num>
  <w:num w:numId="15" w16cid:durableId="370107566">
    <w:abstractNumId w:val="15"/>
  </w:num>
  <w:num w:numId="16" w16cid:durableId="460533683">
    <w:abstractNumId w:val="14"/>
  </w:num>
  <w:num w:numId="17" w16cid:durableId="1374311260">
    <w:abstractNumId w:val="21"/>
  </w:num>
  <w:num w:numId="18" w16cid:durableId="1443452700">
    <w:abstractNumId w:val="13"/>
  </w:num>
  <w:num w:numId="19" w16cid:durableId="1176264243">
    <w:abstractNumId w:val="17"/>
  </w:num>
  <w:num w:numId="20" w16cid:durableId="1346783371">
    <w:abstractNumId w:val="16"/>
  </w:num>
  <w:num w:numId="21" w16cid:durableId="1089348542">
    <w:abstractNumId w:val="20"/>
  </w:num>
  <w:num w:numId="22" w16cid:durableId="330717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BD"/>
    <w:rsid w:val="0000265C"/>
    <w:rsid w:val="000040E7"/>
    <w:rsid w:val="000046FF"/>
    <w:rsid w:val="00012B14"/>
    <w:rsid w:val="0001388F"/>
    <w:rsid w:val="00021D7D"/>
    <w:rsid w:val="00027D3F"/>
    <w:rsid w:val="000318C2"/>
    <w:rsid w:val="0003694C"/>
    <w:rsid w:val="00036B9B"/>
    <w:rsid w:val="000370C0"/>
    <w:rsid w:val="0003763E"/>
    <w:rsid w:val="00044DED"/>
    <w:rsid w:val="00052CF2"/>
    <w:rsid w:val="00070A77"/>
    <w:rsid w:val="00071910"/>
    <w:rsid w:val="00074358"/>
    <w:rsid w:val="00077AA9"/>
    <w:rsid w:val="000C17DB"/>
    <w:rsid w:val="000E7B7F"/>
    <w:rsid w:val="000F442C"/>
    <w:rsid w:val="00111387"/>
    <w:rsid w:val="00121D45"/>
    <w:rsid w:val="00132EED"/>
    <w:rsid w:val="001353A0"/>
    <w:rsid w:val="00141416"/>
    <w:rsid w:val="001427E6"/>
    <w:rsid w:val="00165BEE"/>
    <w:rsid w:val="00171D03"/>
    <w:rsid w:val="00181721"/>
    <w:rsid w:val="001830E6"/>
    <w:rsid w:val="001A040A"/>
    <w:rsid w:val="001A320F"/>
    <w:rsid w:val="001A7AB7"/>
    <w:rsid w:val="001B4864"/>
    <w:rsid w:val="001D44F6"/>
    <w:rsid w:val="001F1478"/>
    <w:rsid w:val="001F5AC4"/>
    <w:rsid w:val="00216C27"/>
    <w:rsid w:val="00236143"/>
    <w:rsid w:val="00245EC1"/>
    <w:rsid w:val="00246308"/>
    <w:rsid w:val="00262CF7"/>
    <w:rsid w:val="002763B3"/>
    <w:rsid w:val="00292972"/>
    <w:rsid w:val="00296343"/>
    <w:rsid w:val="002C1DDD"/>
    <w:rsid w:val="002C258F"/>
    <w:rsid w:val="002D7269"/>
    <w:rsid w:val="002D761C"/>
    <w:rsid w:val="002E3DC0"/>
    <w:rsid w:val="002E4300"/>
    <w:rsid w:val="002F1057"/>
    <w:rsid w:val="00305912"/>
    <w:rsid w:val="00310066"/>
    <w:rsid w:val="00311B8E"/>
    <w:rsid w:val="00313CAB"/>
    <w:rsid w:val="00316FD8"/>
    <w:rsid w:val="0032342D"/>
    <w:rsid w:val="003373F9"/>
    <w:rsid w:val="00353977"/>
    <w:rsid w:val="00357A38"/>
    <w:rsid w:val="00361BB0"/>
    <w:rsid w:val="003622A8"/>
    <w:rsid w:val="0036278D"/>
    <w:rsid w:val="00365AA2"/>
    <w:rsid w:val="003710AF"/>
    <w:rsid w:val="003711B3"/>
    <w:rsid w:val="003760FF"/>
    <w:rsid w:val="003775EC"/>
    <w:rsid w:val="003802C0"/>
    <w:rsid w:val="00384315"/>
    <w:rsid w:val="00386A2D"/>
    <w:rsid w:val="003917BB"/>
    <w:rsid w:val="003A14E8"/>
    <w:rsid w:val="003C22E5"/>
    <w:rsid w:val="003C3562"/>
    <w:rsid w:val="003C35C2"/>
    <w:rsid w:val="003C7FA4"/>
    <w:rsid w:val="003D3526"/>
    <w:rsid w:val="003F07D3"/>
    <w:rsid w:val="003F1758"/>
    <w:rsid w:val="003F3383"/>
    <w:rsid w:val="003F4483"/>
    <w:rsid w:val="003F4509"/>
    <w:rsid w:val="00404A22"/>
    <w:rsid w:val="004070F9"/>
    <w:rsid w:val="00423F38"/>
    <w:rsid w:val="004472EA"/>
    <w:rsid w:val="0045274B"/>
    <w:rsid w:val="00455736"/>
    <w:rsid w:val="00462365"/>
    <w:rsid w:val="0046515E"/>
    <w:rsid w:val="00472171"/>
    <w:rsid w:val="004747E2"/>
    <w:rsid w:val="00480B68"/>
    <w:rsid w:val="00483973"/>
    <w:rsid w:val="00490EBC"/>
    <w:rsid w:val="004B03D2"/>
    <w:rsid w:val="004C6CD8"/>
    <w:rsid w:val="004D0A73"/>
    <w:rsid w:val="004D100F"/>
    <w:rsid w:val="004D7789"/>
    <w:rsid w:val="004E0735"/>
    <w:rsid w:val="004E27E7"/>
    <w:rsid w:val="00505661"/>
    <w:rsid w:val="005162BE"/>
    <w:rsid w:val="00523977"/>
    <w:rsid w:val="00533066"/>
    <w:rsid w:val="005355D4"/>
    <w:rsid w:val="005425B8"/>
    <w:rsid w:val="00576A9F"/>
    <w:rsid w:val="0059052C"/>
    <w:rsid w:val="005A6EAA"/>
    <w:rsid w:val="005D2544"/>
    <w:rsid w:val="005D268C"/>
    <w:rsid w:val="005D750C"/>
    <w:rsid w:val="005E32AF"/>
    <w:rsid w:val="005E4F2E"/>
    <w:rsid w:val="005E615E"/>
    <w:rsid w:val="005E7A6B"/>
    <w:rsid w:val="005F6593"/>
    <w:rsid w:val="00601AC3"/>
    <w:rsid w:val="00604E7D"/>
    <w:rsid w:val="00605CBD"/>
    <w:rsid w:val="006075BE"/>
    <w:rsid w:val="0061552E"/>
    <w:rsid w:val="00642177"/>
    <w:rsid w:val="0064411E"/>
    <w:rsid w:val="00646A4E"/>
    <w:rsid w:val="00647A70"/>
    <w:rsid w:val="00656920"/>
    <w:rsid w:val="00656CFA"/>
    <w:rsid w:val="006643A6"/>
    <w:rsid w:val="0067353A"/>
    <w:rsid w:val="00691462"/>
    <w:rsid w:val="006949FB"/>
    <w:rsid w:val="00695863"/>
    <w:rsid w:val="006A1686"/>
    <w:rsid w:val="006A3B50"/>
    <w:rsid w:val="006C21AA"/>
    <w:rsid w:val="006C4687"/>
    <w:rsid w:val="006C64CE"/>
    <w:rsid w:val="006C7DAD"/>
    <w:rsid w:val="006E048C"/>
    <w:rsid w:val="006E4A72"/>
    <w:rsid w:val="006F16EB"/>
    <w:rsid w:val="007404D4"/>
    <w:rsid w:val="0074129E"/>
    <w:rsid w:val="0074758A"/>
    <w:rsid w:val="0076116D"/>
    <w:rsid w:val="00762EB5"/>
    <w:rsid w:val="00767968"/>
    <w:rsid w:val="00782BCC"/>
    <w:rsid w:val="00785BCE"/>
    <w:rsid w:val="0078623D"/>
    <w:rsid w:val="00791AFD"/>
    <w:rsid w:val="00793CF6"/>
    <w:rsid w:val="00797929"/>
    <w:rsid w:val="007A304A"/>
    <w:rsid w:val="007A35B0"/>
    <w:rsid w:val="007C3D44"/>
    <w:rsid w:val="007C6460"/>
    <w:rsid w:val="007C67DA"/>
    <w:rsid w:val="007C7478"/>
    <w:rsid w:val="007C7856"/>
    <w:rsid w:val="007D5CC6"/>
    <w:rsid w:val="007F0A16"/>
    <w:rsid w:val="007F1664"/>
    <w:rsid w:val="007F2971"/>
    <w:rsid w:val="0080412A"/>
    <w:rsid w:val="00805D85"/>
    <w:rsid w:val="00815E26"/>
    <w:rsid w:val="0081796A"/>
    <w:rsid w:val="00817FDC"/>
    <w:rsid w:val="00821D39"/>
    <w:rsid w:val="00826E6D"/>
    <w:rsid w:val="00827C04"/>
    <w:rsid w:val="00836CC2"/>
    <w:rsid w:val="008426BC"/>
    <w:rsid w:val="00850AC3"/>
    <w:rsid w:val="00854CF4"/>
    <w:rsid w:val="00863AEB"/>
    <w:rsid w:val="00864A67"/>
    <w:rsid w:val="00865AD9"/>
    <w:rsid w:val="00866BEA"/>
    <w:rsid w:val="00867942"/>
    <w:rsid w:val="00874EBA"/>
    <w:rsid w:val="00876EE0"/>
    <w:rsid w:val="008C3BEE"/>
    <w:rsid w:val="008C52BE"/>
    <w:rsid w:val="008C53D8"/>
    <w:rsid w:val="008D24F1"/>
    <w:rsid w:val="008D3FAD"/>
    <w:rsid w:val="008D7141"/>
    <w:rsid w:val="008E18F4"/>
    <w:rsid w:val="008F4906"/>
    <w:rsid w:val="008F5473"/>
    <w:rsid w:val="00911E83"/>
    <w:rsid w:val="009407AC"/>
    <w:rsid w:val="00947480"/>
    <w:rsid w:val="009614FB"/>
    <w:rsid w:val="00963E19"/>
    <w:rsid w:val="009654EB"/>
    <w:rsid w:val="00973730"/>
    <w:rsid w:val="009807C0"/>
    <w:rsid w:val="009858C3"/>
    <w:rsid w:val="00986DF6"/>
    <w:rsid w:val="00995940"/>
    <w:rsid w:val="00996E29"/>
    <w:rsid w:val="009A5317"/>
    <w:rsid w:val="009A7896"/>
    <w:rsid w:val="009C7758"/>
    <w:rsid w:val="009D20EE"/>
    <w:rsid w:val="009D48FF"/>
    <w:rsid w:val="009E318E"/>
    <w:rsid w:val="009E3F2C"/>
    <w:rsid w:val="009F5313"/>
    <w:rsid w:val="009F5DC7"/>
    <w:rsid w:val="00A006FD"/>
    <w:rsid w:val="00A06A46"/>
    <w:rsid w:val="00A25DCD"/>
    <w:rsid w:val="00A37771"/>
    <w:rsid w:val="00A422A1"/>
    <w:rsid w:val="00A63CC4"/>
    <w:rsid w:val="00A77253"/>
    <w:rsid w:val="00A80974"/>
    <w:rsid w:val="00A81DDC"/>
    <w:rsid w:val="00A95872"/>
    <w:rsid w:val="00AB2586"/>
    <w:rsid w:val="00AC45FC"/>
    <w:rsid w:val="00AE6EA1"/>
    <w:rsid w:val="00AF1465"/>
    <w:rsid w:val="00AF52BA"/>
    <w:rsid w:val="00AF5955"/>
    <w:rsid w:val="00B05D5E"/>
    <w:rsid w:val="00B16896"/>
    <w:rsid w:val="00B26E50"/>
    <w:rsid w:val="00B3102D"/>
    <w:rsid w:val="00B3756A"/>
    <w:rsid w:val="00B43D21"/>
    <w:rsid w:val="00B454AD"/>
    <w:rsid w:val="00B4731D"/>
    <w:rsid w:val="00B574B7"/>
    <w:rsid w:val="00B61220"/>
    <w:rsid w:val="00B63556"/>
    <w:rsid w:val="00B64122"/>
    <w:rsid w:val="00B75C06"/>
    <w:rsid w:val="00B8332A"/>
    <w:rsid w:val="00B909CA"/>
    <w:rsid w:val="00B92B47"/>
    <w:rsid w:val="00BA5A18"/>
    <w:rsid w:val="00BA5C5D"/>
    <w:rsid w:val="00BA5ED5"/>
    <w:rsid w:val="00BC11A7"/>
    <w:rsid w:val="00BC547D"/>
    <w:rsid w:val="00BD107B"/>
    <w:rsid w:val="00BD3374"/>
    <w:rsid w:val="00BD4720"/>
    <w:rsid w:val="00BF1A9C"/>
    <w:rsid w:val="00C1378E"/>
    <w:rsid w:val="00C14201"/>
    <w:rsid w:val="00C16580"/>
    <w:rsid w:val="00C16888"/>
    <w:rsid w:val="00C274CE"/>
    <w:rsid w:val="00C279FB"/>
    <w:rsid w:val="00C30783"/>
    <w:rsid w:val="00C30F01"/>
    <w:rsid w:val="00C31894"/>
    <w:rsid w:val="00C31C0D"/>
    <w:rsid w:val="00C36555"/>
    <w:rsid w:val="00C36C99"/>
    <w:rsid w:val="00C377A8"/>
    <w:rsid w:val="00C42857"/>
    <w:rsid w:val="00C537BE"/>
    <w:rsid w:val="00C708D0"/>
    <w:rsid w:val="00C715E3"/>
    <w:rsid w:val="00C82C24"/>
    <w:rsid w:val="00C91C12"/>
    <w:rsid w:val="00C95CEB"/>
    <w:rsid w:val="00CA13BE"/>
    <w:rsid w:val="00CA1D3F"/>
    <w:rsid w:val="00CA5FB1"/>
    <w:rsid w:val="00CC36BD"/>
    <w:rsid w:val="00CD0F1C"/>
    <w:rsid w:val="00CD450F"/>
    <w:rsid w:val="00CD736D"/>
    <w:rsid w:val="00CF1229"/>
    <w:rsid w:val="00CF2A5F"/>
    <w:rsid w:val="00D00DE8"/>
    <w:rsid w:val="00D05D3C"/>
    <w:rsid w:val="00D1456F"/>
    <w:rsid w:val="00D22658"/>
    <w:rsid w:val="00D30463"/>
    <w:rsid w:val="00D3115E"/>
    <w:rsid w:val="00D475CB"/>
    <w:rsid w:val="00D63365"/>
    <w:rsid w:val="00D7109F"/>
    <w:rsid w:val="00D75A60"/>
    <w:rsid w:val="00D815A0"/>
    <w:rsid w:val="00DA51FC"/>
    <w:rsid w:val="00DB1CF8"/>
    <w:rsid w:val="00DB37E1"/>
    <w:rsid w:val="00DB43E8"/>
    <w:rsid w:val="00DB472F"/>
    <w:rsid w:val="00DB71FA"/>
    <w:rsid w:val="00DB7CCF"/>
    <w:rsid w:val="00DC2D81"/>
    <w:rsid w:val="00DC2FE9"/>
    <w:rsid w:val="00DC6FD7"/>
    <w:rsid w:val="00DD22EF"/>
    <w:rsid w:val="00DD5D91"/>
    <w:rsid w:val="00DD78E1"/>
    <w:rsid w:val="00DE6377"/>
    <w:rsid w:val="00DF1882"/>
    <w:rsid w:val="00DF4745"/>
    <w:rsid w:val="00E00B6C"/>
    <w:rsid w:val="00E01B39"/>
    <w:rsid w:val="00E05B68"/>
    <w:rsid w:val="00E06B02"/>
    <w:rsid w:val="00E07980"/>
    <w:rsid w:val="00E105E3"/>
    <w:rsid w:val="00E17448"/>
    <w:rsid w:val="00E1781B"/>
    <w:rsid w:val="00E2569C"/>
    <w:rsid w:val="00E441FE"/>
    <w:rsid w:val="00E5078A"/>
    <w:rsid w:val="00E554FD"/>
    <w:rsid w:val="00E658FC"/>
    <w:rsid w:val="00E712A5"/>
    <w:rsid w:val="00E80DFD"/>
    <w:rsid w:val="00E82CBE"/>
    <w:rsid w:val="00E85111"/>
    <w:rsid w:val="00E90915"/>
    <w:rsid w:val="00E92214"/>
    <w:rsid w:val="00E94B48"/>
    <w:rsid w:val="00EB2DC7"/>
    <w:rsid w:val="00EB4E52"/>
    <w:rsid w:val="00EE791C"/>
    <w:rsid w:val="00F00857"/>
    <w:rsid w:val="00F03617"/>
    <w:rsid w:val="00F1203C"/>
    <w:rsid w:val="00F14D86"/>
    <w:rsid w:val="00F33158"/>
    <w:rsid w:val="00F445DE"/>
    <w:rsid w:val="00F538DA"/>
    <w:rsid w:val="00F6121C"/>
    <w:rsid w:val="00F65250"/>
    <w:rsid w:val="00F71C4D"/>
    <w:rsid w:val="00F7372A"/>
    <w:rsid w:val="00F814E5"/>
    <w:rsid w:val="00F92052"/>
    <w:rsid w:val="00F92AE7"/>
    <w:rsid w:val="00FA50E0"/>
    <w:rsid w:val="00FA58A8"/>
    <w:rsid w:val="00FB0407"/>
    <w:rsid w:val="00FC05CD"/>
    <w:rsid w:val="00FE4E4B"/>
    <w:rsid w:val="00FF28EC"/>
    <w:rsid w:val="00FF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4E867F"/>
  <w14:defaultImageDpi w14:val="32767"/>
  <w15:chartTrackingRefBased/>
  <w15:docId w15:val="{F2F35A98-8F5E-4C10-AB7D-21D9C743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uiPriority="2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8"/>
    <w:qFormat/>
    <w:rsid w:val="006C21AA"/>
    <w:pPr>
      <w:spacing w:line="280" w:lineRule="atLeast"/>
    </w:pPr>
    <w:rPr>
      <w:sz w:val="20"/>
      <w:lang w:val="nl-NL"/>
    </w:rPr>
  </w:style>
  <w:style w:type="paragraph" w:styleId="Kop1">
    <w:name w:val="heading 1"/>
    <w:basedOn w:val="Standaard"/>
    <w:next w:val="Plattetekst"/>
    <w:link w:val="Kop1Char"/>
    <w:uiPriority w:val="2"/>
    <w:qFormat/>
    <w:rsid w:val="00310066"/>
    <w:pPr>
      <w:keepNext/>
      <w:keepLines/>
      <w:spacing w:before="320" w:after="240" w:line="400" w:lineRule="atLeast"/>
      <w:outlineLvl w:val="0"/>
    </w:pPr>
    <w:rPr>
      <w:rFonts w:asciiTheme="majorHAnsi" w:eastAsiaTheme="majorEastAsia" w:hAnsiTheme="majorHAnsi" w:cstheme="majorBidi"/>
      <w:b/>
      <w:color w:val="00A9D6" w:themeColor="text2"/>
      <w:sz w:val="32"/>
      <w:szCs w:val="32"/>
    </w:rPr>
  </w:style>
  <w:style w:type="paragraph" w:styleId="Kop2">
    <w:name w:val="heading 2"/>
    <w:basedOn w:val="Standaard"/>
    <w:next w:val="Plattetekst"/>
    <w:link w:val="Kop2Char"/>
    <w:uiPriority w:val="2"/>
    <w:qFormat/>
    <w:rsid w:val="00C274CE"/>
    <w:pPr>
      <w:keepNext/>
      <w:keepLines/>
      <w:outlineLvl w:val="1"/>
    </w:pPr>
    <w:rPr>
      <w:rFonts w:asciiTheme="majorHAnsi" w:eastAsiaTheme="majorEastAsia" w:hAnsiTheme="majorHAnsi" w:cstheme="majorBidi"/>
      <w:color w:val="283583" w:themeColor="accent2"/>
      <w:sz w:val="24"/>
      <w:szCs w:val="26"/>
    </w:rPr>
  </w:style>
  <w:style w:type="paragraph" w:styleId="Kop3">
    <w:name w:val="heading 3"/>
    <w:basedOn w:val="Standaard"/>
    <w:next w:val="Plattetekst"/>
    <w:link w:val="Kop3Char"/>
    <w:uiPriority w:val="2"/>
    <w:qFormat/>
    <w:rsid w:val="00C274CE"/>
    <w:pPr>
      <w:keepNext/>
      <w:keepLines/>
      <w:outlineLvl w:val="2"/>
    </w:pPr>
    <w:rPr>
      <w:rFonts w:asciiTheme="majorHAnsi" w:eastAsiaTheme="majorEastAsia" w:hAnsiTheme="majorHAnsi"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rsid w:val="00647A70"/>
    <w:pPr>
      <w:numPr>
        <w:numId w:val="10"/>
      </w:numPr>
      <w:tabs>
        <w:tab w:val="left" w:pos="284"/>
      </w:tabs>
      <w:contextualSpacing/>
    </w:pPr>
  </w:style>
  <w:style w:type="paragraph" w:styleId="Lijstopsomteken2">
    <w:name w:val="List Bullet 2"/>
    <w:basedOn w:val="Standaard"/>
    <w:uiPriority w:val="99"/>
    <w:semiHidden/>
    <w:unhideWhenUsed/>
    <w:rsid w:val="00647A70"/>
    <w:pPr>
      <w:numPr>
        <w:numId w:val="9"/>
      </w:numPr>
      <w:tabs>
        <w:tab w:val="left" w:pos="567"/>
      </w:tabs>
      <w:contextualSpacing/>
    </w:pPr>
  </w:style>
  <w:style w:type="paragraph" w:styleId="Lijstopsomteken3">
    <w:name w:val="List Bullet 3"/>
    <w:basedOn w:val="Standaard"/>
    <w:uiPriority w:val="99"/>
    <w:semiHidden/>
    <w:unhideWhenUsed/>
    <w:rsid w:val="00647A70"/>
    <w:pPr>
      <w:numPr>
        <w:numId w:val="8"/>
      </w:numPr>
      <w:tabs>
        <w:tab w:val="left" w:pos="851"/>
      </w:tabs>
      <w:contextualSpacing/>
    </w:pPr>
  </w:style>
  <w:style w:type="paragraph" w:styleId="Lijstopsomteken4">
    <w:name w:val="List Bullet 4"/>
    <w:basedOn w:val="Standaard"/>
    <w:uiPriority w:val="99"/>
    <w:semiHidden/>
    <w:unhideWhenUsed/>
    <w:rsid w:val="00647A70"/>
    <w:pPr>
      <w:numPr>
        <w:numId w:val="7"/>
      </w:numPr>
      <w:tabs>
        <w:tab w:val="left" w:pos="1134"/>
      </w:tabs>
      <w:contextualSpacing/>
    </w:pPr>
  </w:style>
  <w:style w:type="paragraph" w:styleId="Lijstopsomteken5">
    <w:name w:val="List Bullet 5"/>
    <w:basedOn w:val="Standaard"/>
    <w:uiPriority w:val="99"/>
    <w:semiHidden/>
    <w:unhideWhenUsed/>
    <w:rsid w:val="00647A70"/>
    <w:pPr>
      <w:numPr>
        <w:numId w:val="6"/>
      </w:numPr>
      <w:tabs>
        <w:tab w:val="left" w:pos="1418"/>
      </w:tabs>
      <w:ind w:left="360" w:hanging="360"/>
      <w:contextualSpacing/>
    </w:pPr>
  </w:style>
  <w:style w:type="paragraph" w:styleId="Lijst">
    <w:name w:val="List"/>
    <w:basedOn w:val="Standaard"/>
    <w:uiPriority w:val="99"/>
    <w:semiHidden/>
    <w:unhideWhenUsed/>
    <w:rsid w:val="00E441FE"/>
    <w:pPr>
      <w:tabs>
        <w:tab w:val="left" w:pos="284"/>
      </w:tabs>
      <w:ind w:left="284" w:hanging="284"/>
      <w:contextualSpacing/>
    </w:pPr>
  </w:style>
  <w:style w:type="paragraph" w:styleId="Lijst2">
    <w:name w:val="List 2"/>
    <w:basedOn w:val="Standaard"/>
    <w:uiPriority w:val="99"/>
    <w:semiHidden/>
    <w:unhideWhenUsed/>
    <w:rsid w:val="00E441FE"/>
    <w:pPr>
      <w:ind w:left="568" w:hanging="284"/>
      <w:contextualSpacing/>
    </w:pPr>
  </w:style>
  <w:style w:type="paragraph" w:styleId="Lijst3">
    <w:name w:val="List 3"/>
    <w:basedOn w:val="Standaard"/>
    <w:uiPriority w:val="99"/>
    <w:semiHidden/>
    <w:unhideWhenUsed/>
    <w:rsid w:val="00E441FE"/>
    <w:pPr>
      <w:ind w:left="849" w:hanging="283"/>
      <w:contextualSpacing/>
    </w:pPr>
  </w:style>
  <w:style w:type="paragraph" w:styleId="Lijst4">
    <w:name w:val="List 4"/>
    <w:basedOn w:val="Standaard"/>
    <w:uiPriority w:val="99"/>
    <w:semiHidden/>
    <w:unhideWhenUsed/>
    <w:rsid w:val="00E441FE"/>
    <w:pPr>
      <w:ind w:left="1132" w:hanging="283"/>
      <w:contextualSpacing/>
    </w:pPr>
  </w:style>
  <w:style w:type="paragraph" w:styleId="Lijst5">
    <w:name w:val="List 5"/>
    <w:basedOn w:val="Standaard"/>
    <w:uiPriority w:val="99"/>
    <w:semiHidden/>
    <w:unhideWhenUsed/>
    <w:rsid w:val="00E441FE"/>
    <w:pPr>
      <w:ind w:left="1415" w:hanging="283"/>
      <w:contextualSpacing/>
    </w:pPr>
  </w:style>
  <w:style w:type="paragraph" w:styleId="Index1">
    <w:name w:val="index 1"/>
    <w:basedOn w:val="Standaard"/>
    <w:next w:val="Standaard"/>
    <w:autoRedefine/>
    <w:uiPriority w:val="99"/>
    <w:semiHidden/>
    <w:unhideWhenUsed/>
    <w:rsid w:val="00E441FE"/>
    <w:pPr>
      <w:ind w:left="284" w:hanging="284"/>
    </w:pPr>
  </w:style>
  <w:style w:type="paragraph" w:styleId="Index2">
    <w:name w:val="index 2"/>
    <w:basedOn w:val="Standaard"/>
    <w:next w:val="Standaard"/>
    <w:autoRedefine/>
    <w:uiPriority w:val="99"/>
    <w:semiHidden/>
    <w:unhideWhenUsed/>
    <w:rsid w:val="00E441FE"/>
    <w:pPr>
      <w:ind w:left="568" w:hanging="284"/>
    </w:pPr>
  </w:style>
  <w:style w:type="paragraph" w:styleId="Index3">
    <w:name w:val="index 3"/>
    <w:basedOn w:val="Standaard"/>
    <w:next w:val="Standaard"/>
    <w:autoRedefine/>
    <w:uiPriority w:val="99"/>
    <w:semiHidden/>
    <w:unhideWhenUsed/>
    <w:rsid w:val="00E441FE"/>
    <w:pPr>
      <w:ind w:left="851" w:hanging="284"/>
    </w:pPr>
  </w:style>
  <w:style w:type="paragraph" w:styleId="Index4">
    <w:name w:val="index 4"/>
    <w:basedOn w:val="Standaard"/>
    <w:next w:val="Standaard"/>
    <w:autoRedefine/>
    <w:uiPriority w:val="99"/>
    <w:semiHidden/>
    <w:unhideWhenUsed/>
    <w:rsid w:val="00E441FE"/>
    <w:pPr>
      <w:ind w:left="1135" w:hanging="284"/>
    </w:pPr>
  </w:style>
  <w:style w:type="paragraph" w:styleId="Index5">
    <w:name w:val="index 5"/>
    <w:basedOn w:val="Standaard"/>
    <w:next w:val="Standaard"/>
    <w:autoRedefine/>
    <w:uiPriority w:val="99"/>
    <w:semiHidden/>
    <w:unhideWhenUsed/>
    <w:rsid w:val="00E441FE"/>
    <w:pPr>
      <w:ind w:left="1418" w:hanging="284"/>
    </w:pPr>
  </w:style>
  <w:style w:type="paragraph" w:styleId="Index6">
    <w:name w:val="index 6"/>
    <w:basedOn w:val="Standaard"/>
    <w:next w:val="Standaard"/>
    <w:autoRedefine/>
    <w:uiPriority w:val="99"/>
    <w:semiHidden/>
    <w:unhideWhenUsed/>
    <w:rsid w:val="00E441FE"/>
    <w:pPr>
      <w:ind w:left="1702" w:hanging="284"/>
    </w:pPr>
  </w:style>
  <w:style w:type="paragraph" w:styleId="Index7">
    <w:name w:val="index 7"/>
    <w:basedOn w:val="Standaard"/>
    <w:next w:val="Standaard"/>
    <w:autoRedefine/>
    <w:uiPriority w:val="99"/>
    <w:semiHidden/>
    <w:unhideWhenUsed/>
    <w:rsid w:val="00647A70"/>
    <w:pPr>
      <w:ind w:left="1985" w:hanging="284"/>
    </w:pPr>
  </w:style>
  <w:style w:type="paragraph" w:styleId="Index8">
    <w:name w:val="index 8"/>
    <w:basedOn w:val="Standaard"/>
    <w:next w:val="Standaard"/>
    <w:autoRedefine/>
    <w:uiPriority w:val="99"/>
    <w:semiHidden/>
    <w:unhideWhenUsed/>
    <w:rsid w:val="00647A70"/>
    <w:pPr>
      <w:ind w:left="2269" w:hanging="284"/>
    </w:pPr>
  </w:style>
  <w:style w:type="paragraph" w:styleId="Index9">
    <w:name w:val="index 9"/>
    <w:basedOn w:val="Standaard"/>
    <w:next w:val="Standaard"/>
    <w:autoRedefine/>
    <w:uiPriority w:val="99"/>
    <w:semiHidden/>
    <w:unhideWhenUsed/>
    <w:rsid w:val="00647A70"/>
    <w:pPr>
      <w:ind w:left="2552" w:hanging="284"/>
    </w:pPr>
  </w:style>
  <w:style w:type="paragraph" w:styleId="Plattetekst0">
    <w:name w:val="Body Text"/>
    <w:basedOn w:val="Standaard"/>
    <w:link w:val="PlattetekstChar"/>
    <w:uiPriority w:val="99"/>
    <w:semiHidden/>
    <w:unhideWhenUsed/>
    <w:rsid w:val="00647A70"/>
  </w:style>
  <w:style w:type="character" w:customStyle="1" w:styleId="PlattetekstChar">
    <w:name w:val="Platte tekst Char"/>
    <w:basedOn w:val="Standaardalinea-lettertype"/>
    <w:link w:val="Plattetekst0"/>
    <w:uiPriority w:val="99"/>
    <w:semiHidden/>
    <w:rsid w:val="00647A70"/>
    <w:rPr>
      <w:lang w:val="nl-NL"/>
    </w:rPr>
  </w:style>
  <w:style w:type="paragraph" w:styleId="Plattetekstinspringen">
    <w:name w:val="Body Text Indent"/>
    <w:basedOn w:val="Standaard"/>
    <w:link w:val="PlattetekstinspringenChar"/>
    <w:uiPriority w:val="99"/>
    <w:semiHidden/>
    <w:unhideWhenUsed/>
    <w:rsid w:val="004070F9"/>
    <w:pPr>
      <w:ind w:left="284"/>
    </w:pPr>
  </w:style>
  <w:style w:type="character" w:customStyle="1" w:styleId="PlattetekstinspringenChar">
    <w:name w:val="Platte tekst inspringen Char"/>
    <w:basedOn w:val="Standaardalinea-lettertype"/>
    <w:link w:val="Plattetekstinspringen"/>
    <w:uiPriority w:val="99"/>
    <w:semiHidden/>
    <w:rsid w:val="004070F9"/>
    <w:rPr>
      <w:lang w:val="nl-NL"/>
    </w:rPr>
  </w:style>
  <w:style w:type="paragraph" w:styleId="Platteteksteersteinspringing">
    <w:name w:val="Body Text First Indent"/>
    <w:basedOn w:val="Plattetekst0"/>
    <w:link w:val="PlatteteksteersteinspringingChar"/>
    <w:uiPriority w:val="99"/>
    <w:semiHidden/>
    <w:unhideWhenUsed/>
    <w:rsid w:val="004070F9"/>
    <w:pPr>
      <w:ind w:firstLine="284"/>
    </w:pPr>
  </w:style>
  <w:style w:type="character" w:customStyle="1" w:styleId="PlatteteksteersteinspringingChar">
    <w:name w:val="Platte tekst eerste inspringing Char"/>
    <w:basedOn w:val="PlattetekstChar"/>
    <w:link w:val="Platteteksteersteinspringing"/>
    <w:uiPriority w:val="99"/>
    <w:semiHidden/>
    <w:rsid w:val="004070F9"/>
    <w:rPr>
      <w:lang w:val="nl-NL"/>
    </w:rPr>
  </w:style>
  <w:style w:type="paragraph" w:styleId="Platteteksteersteinspringing2">
    <w:name w:val="Body Text First Indent 2"/>
    <w:basedOn w:val="Plattetekstinspringen"/>
    <w:link w:val="Platteteksteersteinspringing2Char"/>
    <w:uiPriority w:val="99"/>
    <w:semiHidden/>
    <w:rsid w:val="00647A70"/>
    <w:pPr>
      <w:ind w:firstLine="567"/>
    </w:pPr>
  </w:style>
  <w:style w:type="character" w:customStyle="1" w:styleId="Platteteksteersteinspringing2Char">
    <w:name w:val="Platte tekst eerste inspringing 2 Char"/>
    <w:basedOn w:val="PlattetekstinspringenChar"/>
    <w:link w:val="Platteteksteersteinspringing2"/>
    <w:uiPriority w:val="99"/>
    <w:semiHidden/>
    <w:rsid w:val="00021D7D"/>
    <w:rPr>
      <w:sz w:val="20"/>
      <w:lang w:val="nl-NL"/>
    </w:rPr>
  </w:style>
  <w:style w:type="paragraph" w:styleId="Plattetekstinspringen2">
    <w:name w:val="Body Text Indent 2"/>
    <w:basedOn w:val="Standaard"/>
    <w:link w:val="Plattetekstinspringen2Char"/>
    <w:uiPriority w:val="99"/>
    <w:semiHidden/>
    <w:unhideWhenUsed/>
    <w:rsid w:val="004070F9"/>
    <w:pPr>
      <w:ind w:left="851" w:hanging="284"/>
    </w:pPr>
  </w:style>
  <w:style w:type="character" w:customStyle="1" w:styleId="Plattetekstinspringen2Char">
    <w:name w:val="Platte tekst inspringen 2 Char"/>
    <w:basedOn w:val="Standaardalinea-lettertype"/>
    <w:link w:val="Plattetekstinspringen2"/>
    <w:uiPriority w:val="99"/>
    <w:semiHidden/>
    <w:rsid w:val="004070F9"/>
    <w:rPr>
      <w:lang w:val="nl-NL"/>
    </w:rPr>
  </w:style>
  <w:style w:type="paragraph" w:styleId="Plattetekst2">
    <w:name w:val="Body Text 2"/>
    <w:basedOn w:val="Standaard"/>
    <w:link w:val="Plattetekst2Char"/>
    <w:uiPriority w:val="99"/>
    <w:semiHidden/>
    <w:unhideWhenUsed/>
    <w:rsid w:val="00647A70"/>
  </w:style>
  <w:style w:type="character" w:customStyle="1" w:styleId="Plattetekst2Char">
    <w:name w:val="Platte tekst 2 Char"/>
    <w:basedOn w:val="Standaardalinea-lettertype"/>
    <w:link w:val="Plattetekst2"/>
    <w:uiPriority w:val="99"/>
    <w:semiHidden/>
    <w:rsid w:val="00647A70"/>
    <w:rPr>
      <w:lang w:val="nl-NL"/>
    </w:rPr>
  </w:style>
  <w:style w:type="paragraph" w:styleId="Standaardinspringing">
    <w:name w:val="Normal Indent"/>
    <w:basedOn w:val="Standaard"/>
    <w:uiPriority w:val="99"/>
    <w:semiHidden/>
    <w:unhideWhenUsed/>
    <w:rsid w:val="004070F9"/>
    <w:pPr>
      <w:ind w:left="284"/>
    </w:pPr>
  </w:style>
  <w:style w:type="paragraph" w:styleId="Lijstnummering">
    <w:name w:val="List Number"/>
    <w:basedOn w:val="Standaard"/>
    <w:uiPriority w:val="99"/>
    <w:semiHidden/>
    <w:unhideWhenUsed/>
    <w:rsid w:val="004070F9"/>
    <w:pPr>
      <w:numPr>
        <w:numId w:val="5"/>
      </w:numPr>
      <w:tabs>
        <w:tab w:val="left" w:pos="284"/>
      </w:tabs>
      <w:contextualSpacing/>
    </w:pPr>
  </w:style>
  <w:style w:type="paragraph" w:styleId="Lijstnummering2">
    <w:name w:val="List Number 2"/>
    <w:basedOn w:val="Standaard"/>
    <w:uiPriority w:val="99"/>
    <w:semiHidden/>
    <w:rsid w:val="004070F9"/>
    <w:pPr>
      <w:numPr>
        <w:numId w:val="4"/>
      </w:numPr>
      <w:tabs>
        <w:tab w:val="left" w:pos="567"/>
      </w:tabs>
      <w:contextualSpacing/>
    </w:pPr>
  </w:style>
  <w:style w:type="paragraph" w:styleId="Lijstnummering3">
    <w:name w:val="List Number 3"/>
    <w:basedOn w:val="Standaard"/>
    <w:uiPriority w:val="99"/>
    <w:semiHidden/>
    <w:unhideWhenUsed/>
    <w:rsid w:val="004070F9"/>
    <w:pPr>
      <w:numPr>
        <w:numId w:val="3"/>
      </w:numPr>
      <w:contextualSpacing/>
    </w:pPr>
  </w:style>
  <w:style w:type="paragraph" w:styleId="Lijstnummering4">
    <w:name w:val="List Number 4"/>
    <w:basedOn w:val="Standaard"/>
    <w:uiPriority w:val="99"/>
    <w:semiHidden/>
    <w:unhideWhenUsed/>
    <w:rsid w:val="004070F9"/>
    <w:pPr>
      <w:numPr>
        <w:numId w:val="2"/>
      </w:numPr>
      <w:tabs>
        <w:tab w:val="left" w:pos="1134"/>
      </w:tabs>
      <w:contextualSpacing/>
    </w:pPr>
  </w:style>
  <w:style w:type="paragraph" w:styleId="Lijstnummering5">
    <w:name w:val="List Number 5"/>
    <w:basedOn w:val="Standaard"/>
    <w:uiPriority w:val="99"/>
    <w:semiHidden/>
    <w:unhideWhenUsed/>
    <w:rsid w:val="004070F9"/>
    <w:pPr>
      <w:numPr>
        <w:numId w:val="1"/>
      </w:numPr>
      <w:tabs>
        <w:tab w:val="left" w:pos="1418"/>
      </w:tabs>
      <w:contextualSpacing/>
    </w:pPr>
  </w:style>
  <w:style w:type="paragraph" w:styleId="Lijstvoortzetting">
    <w:name w:val="List Continue"/>
    <w:basedOn w:val="Standaard"/>
    <w:uiPriority w:val="99"/>
    <w:semiHidden/>
    <w:unhideWhenUsed/>
    <w:rsid w:val="004070F9"/>
    <w:pPr>
      <w:ind w:left="284"/>
      <w:contextualSpacing/>
    </w:pPr>
  </w:style>
  <w:style w:type="paragraph" w:styleId="Lijstvoortzetting2">
    <w:name w:val="List Continue 2"/>
    <w:basedOn w:val="Standaard"/>
    <w:uiPriority w:val="99"/>
    <w:semiHidden/>
    <w:unhideWhenUsed/>
    <w:rsid w:val="004070F9"/>
    <w:pPr>
      <w:ind w:left="567"/>
      <w:contextualSpacing/>
    </w:pPr>
  </w:style>
  <w:style w:type="paragraph" w:styleId="Lijstvoortzetting3">
    <w:name w:val="List Continue 3"/>
    <w:basedOn w:val="Standaard"/>
    <w:uiPriority w:val="99"/>
    <w:semiHidden/>
    <w:unhideWhenUsed/>
    <w:rsid w:val="004070F9"/>
    <w:pPr>
      <w:ind w:left="851"/>
      <w:contextualSpacing/>
    </w:pPr>
  </w:style>
  <w:style w:type="paragraph" w:styleId="Lijstvoortzetting4">
    <w:name w:val="List Continue 4"/>
    <w:basedOn w:val="Standaard"/>
    <w:uiPriority w:val="99"/>
    <w:semiHidden/>
    <w:unhideWhenUsed/>
    <w:rsid w:val="004070F9"/>
    <w:pPr>
      <w:ind w:left="1134"/>
      <w:contextualSpacing/>
    </w:pPr>
  </w:style>
  <w:style w:type="paragraph" w:styleId="Lijstvoortzetting5">
    <w:name w:val="List Continue 5"/>
    <w:basedOn w:val="Standaard"/>
    <w:uiPriority w:val="99"/>
    <w:semiHidden/>
    <w:unhideWhenUsed/>
    <w:rsid w:val="004070F9"/>
    <w:pPr>
      <w:ind w:left="1418"/>
      <w:contextualSpacing/>
    </w:pPr>
  </w:style>
  <w:style w:type="paragraph" w:styleId="Inhopg1">
    <w:name w:val="toc 1"/>
    <w:basedOn w:val="Standaard"/>
    <w:next w:val="Standaard"/>
    <w:autoRedefine/>
    <w:uiPriority w:val="39"/>
    <w:semiHidden/>
    <w:unhideWhenUsed/>
    <w:rsid w:val="00C274CE"/>
    <w:pPr>
      <w:tabs>
        <w:tab w:val="left" w:pos="567"/>
        <w:tab w:val="right" w:pos="8732"/>
      </w:tabs>
      <w:spacing w:before="280"/>
      <w:ind w:left="567" w:hanging="567"/>
    </w:pPr>
    <w:rPr>
      <w:b/>
    </w:rPr>
  </w:style>
  <w:style w:type="paragraph" w:styleId="Inhopg2">
    <w:name w:val="toc 2"/>
    <w:basedOn w:val="Standaard"/>
    <w:next w:val="Standaard"/>
    <w:autoRedefine/>
    <w:uiPriority w:val="39"/>
    <w:semiHidden/>
    <w:unhideWhenUsed/>
    <w:rsid w:val="00C274CE"/>
    <w:pPr>
      <w:tabs>
        <w:tab w:val="left" w:pos="1134"/>
        <w:tab w:val="right" w:pos="8732"/>
      </w:tabs>
      <w:ind w:left="1134" w:hanging="567"/>
    </w:pPr>
  </w:style>
  <w:style w:type="paragraph" w:styleId="Inhopg3">
    <w:name w:val="toc 3"/>
    <w:basedOn w:val="Standaard"/>
    <w:next w:val="Standaard"/>
    <w:autoRedefine/>
    <w:uiPriority w:val="39"/>
    <w:semiHidden/>
    <w:unhideWhenUsed/>
    <w:rsid w:val="00C274CE"/>
    <w:pPr>
      <w:tabs>
        <w:tab w:val="left" w:pos="1701"/>
        <w:tab w:val="right" w:pos="8732"/>
      </w:tabs>
      <w:ind w:left="1701" w:hanging="567"/>
    </w:pPr>
  </w:style>
  <w:style w:type="paragraph" w:styleId="Inhopg4">
    <w:name w:val="toc 4"/>
    <w:basedOn w:val="Standaard"/>
    <w:next w:val="Standaard"/>
    <w:autoRedefine/>
    <w:uiPriority w:val="39"/>
    <w:semiHidden/>
    <w:unhideWhenUsed/>
    <w:rsid w:val="004070F9"/>
    <w:pPr>
      <w:ind w:left="851"/>
    </w:pPr>
  </w:style>
  <w:style w:type="paragraph" w:styleId="Inhopg5">
    <w:name w:val="toc 5"/>
    <w:basedOn w:val="Standaard"/>
    <w:next w:val="Standaard"/>
    <w:autoRedefine/>
    <w:uiPriority w:val="39"/>
    <w:semiHidden/>
    <w:unhideWhenUsed/>
    <w:rsid w:val="004070F9"/>
    <w:pPr>
      <w:ind w:left="1134"/>
    </w:pPr>
  </w:style>
  <w:style w:type="paragraph" w:styleId="Inhopg6">
    <w:name w:val="toc 6"/>
    <w:basedOn w:val="Standaard"/>
    <w:next w:val="Standaard"/>
    <w:autoRedefine/>
    <w:uiPriority w:val="39"/>
    <w:semiHidden/>
    <w:unhideWhenUsed/>
    <w:rsid w:val="004070F9"/>
    <w:pPr>
      <w:ind w:left="1418"/>
    </w:pPr>
  </w:style>
  <w:style w:type="paragraph" w:styleId="Inhopg7">
    <w:name w:val="toc 7"/>
    <w:basedOn w:val="Standaard"/>
    <w:next w:val="Standaard"/>
    <w:autoRedefine/>
    <w:uiPriority w:val="39"/>
    <w:semiHidden/>
    <w:unhideWhenUsed/>
    <w:rsid w:val="004070F9"/>
    <w:pPr>
      <w:ind w:left="1701"/>
    </w:pPr>
  </w:style>
  <w:style w:type="paragraph" w:styleId="Inhopg8">
    <w:name w:val="toc 8"/>
    <w:basedOn w:val="Standaard"/>
    <w:next w:val="Standaard"/>
    <w:autoRedefine/>
    <w:uiPriority w:val="39"/>
    <w:semiHidden/>
    <w:unhideWhenUsed/>
    <w:rsid w:val="004070F9"/>
    <w:pPr>
      <w:ind w:left="1985"/>
    </w:pPr>
  </w:style>
  <w:style w:type="paragraph" w:styleId="Inhopg9">
    <w:name w:val="toc 9"/>
    <w:basedOn w:val="Standaard"/>
    <w:next w:val="Standaard"/>
    <w:autoRedefine/>
    <w:uiPriority w:val="39"/>
    <w:semiHidden/>
    <w:unhideWhenUsed/>
    <w:rsid w:val="004070F9"/>
    <w:pPr>
      <w:ind w:left="2268"/>
    </w:pPr>
  </w:style>
  <w:style w:type="paragraph" w:styleId="Adresenvelop">
    <w:name w:val="envelope address"/>
    <w:basedOn w:val="Standaard"/>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4070F9"/>
  </w:style>
  <w:style w:type="character" w:customStyle="1" w:styleId="AfsluitingChar">
    <w:name w:val="Afsluiting Char"/>
    <w:basedOn w:val="Standaardalinea-lettertype"/>
    <w:link w:val="Afsluiting"/>
    <w:uiPriority w:val="99"/>
    <w:semiHidden/>
    <w:rsid w:val="004070F9"/>
    <w:rPr>
      <w:lang w:val="nl-NL"/>
    </w:rPr>
  </w:style>
  <w:style w:type="paragraph" w:styleId="Lijstalinea">
    <w:name w:val="List Paragraph"/>
    <w:basedOn w:val="Standaard"/>
    <w:uiPriority w:val="34"/>
    <w:qFormat/>
    <w:rsid w:val="004070F9"/>
    <w:pPr>
      <w:contextualSpacing/>
    </w:pPr>
  </w:style>
  <w:style w:type="paragraph" w:styleId="Koptekst">
    <w:name w:val="header"/>
    <w:basedOn w:val="Standaard"/>
    <w:link w:val="KoptekstChar"/>
    <w:uiPriority w:val="99"/>
    <w:unhideWhenUsed/>
    <w:rsid w:val="004623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2365"/>
    <w:rPr>
      <w:sz w:val="18"/>
      <w:lang w:val="nl-NL"/>
    </w:rPr>
  </w:style>
  <w:style w:type="paragraph" w:customStyle="1" w:styleId="BulletN1">
    <w:name w:val="Bullet N1"/>
    <w:basedOn w:val="Standaard"/>
    <w:uiPriority w:val="4"/>
    <w:qFormat/>
    <w:rsid w:val="00462365"/>
    <w:pPr>
      <w:numPr>
        <w:numId w:val="13"/>
      </w:numPr>
      <w:tabs>
        <w:tab w:val="clear" w:pos="284"/>
        <w:tab w:val="left" w:pos="567"/>
      </w:tabs>
    </w:pPr>
  </w:style>
  <w:style w:type="paragraph" w:customStyle="1" w:styleId="NumberingN1">
    <w:name w:val="Numbering N1"/>
    <w:basedOn w:val="Standaard"/>
    <w:uiPriority w:val="5"/>
    <w:qFormat/>
    <w:rsid w:val="00462365"/>
    <w:pPr>
      <w:numPr>
        <w:numId w:val="12"/>
      </w:numPr>
      <w:tabs>
        <w:tab w:val="left" w:pos="284"/>
        <w:tab w:val="left" w:pos="567"/>
      </w:tabs>
    </w:pPr>
  </w:style>
  <w:style w:type="paragraph" w:customStyle="1" w:styleId="Smallheading">
    <w:name w:val="Small heading"/>
    <w:basedOn w:val="Standaard"/>
    <w:next w:val="Plattetekst"/>
    <w:uiPriority w:val="1"/>
    <w:qFormat/>
    <w:rsid w:val="00462365"/>
    <w:pPr>
      <w:tabs>
        <w:tab w:val="left" w:pos="284"/>
        <w:tab w:val="left" w:pos="567"/>
      </w:tabs>
    </w:pPr>
    <w:rPr>
      <w:b/>
    </w:rPr>
  </w:style>
  <w:style w:type="paragraph" w:customStyle="1" w:styleId="NumberingN2">
    <w:name w:val="Numbering N2"/>
    <w:basedOn w:val="Standaard"/>
    <w:uiPriority w:val="5"/>
    <w:qFormat/>
    <w:rsid w:val="00462365"/>
    <w:pPr>
      <w:numPr>
        <w:numId w:val="14"/>
      </w:numPr>
      <w:tabs>
        <w:tab w:val="left" w:pos="284"/>
      </w:tabs>
      <w:ind w:left="568" w:hanging="284"/>
    </w:pPr>
  </w:style>
  <w:style w:type="paragraph" w:customStyle="1" w:styleId="BulletN2line">
    <w:name w:val="Bullet N2 line"/>
    <w:basedOn w:val="Standaard"/>
    <w:uiPriority w:val="4"/>
    <w:qFormat/>
    <w:rsid w:val="00462365"/>
    <w:pPr>
      <w:numPr>
        <w:numId w:val="11"/>
      </w:numPr>
      <w:tabs>
        <w:tab w:val="num" w:pos="284"/>
      </w:tabs>
      <w:ind w:left="568" w:hanging="284"/>
    </w:pPr>
  </w:style>
  <w:style w:type="paragraph" w:customStyle="1" w:styleId="Plattetekst">
    <w:name w:val="Plattetekst"/>
    <w:basedOn w:val="Standaard"/>
    <w:link w:val="PlattetekstChar0"/>
    <w:qFormat/>
    <w:rsid w:val="00F7372A"/>
    <w:pPr>
      <w:tabs>
        <w:tab w:val="left" w:pos="284"/>
        <w:tab w:val="left" w:pos="567"/>
        <w:tab w:val="left" w:pos="1418"/>
      </w:tabs>
    </w:pPr>
  </w:style>
  <w:style w:type="character" w:customStyle="1" w:styleId="PlattetekstChar0">
    <w:name w:val="Plattetekst Char"/>
    <w:basedOn w:val="Standaardalinea-lettertype"/>
    <w:link w:val="Plattetekst"/>
    <w:rsid w:val="00F7372A"/>
    <w:rPr>
      <w:sz w:val="20"/>
      <w:lang w:val="nl-NL"/>
    </w:rPr>
  </w:style>
  <w:style w:type="table" w:styleId="Tabelraster">
    <w:name w:val="Table Grid"/>
    <w:basedOn w:val="Standaardtabel"/>
    <w:uiPriority w:val="39"/>
    <w:rsid w:val="00AF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ysVeldMarkering">
    <w:name w:val="zsysVeldMarkering"/>
    <w:basedOn w:val="Standaardalinea-lettertype"/>
    <w:semiHidden/>
    <w:rsid w:val="00AF1465"/>
    <w:rPr>
      <w:bdr w:val="none" w:sz="0" w:space="0" w:color="auto"/>
      <w:shd w:val="clear" w:color="auto" w:fill="A0C4E8"/>
    </w:rPr>
  </w:style>
  <w:style w:type="paragraph" w:styleId="Voettekst">
    <w:name w:val="footer"/>
    <w:basedOn w:val="Standaard"/>
    <w:link w:val="VoettekstChar"/>
    <w:uiPriority w:val="99"/>
    <w:unhideWhenUsed/>
    <w:rsid w:val="00B473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4731D"/>
    <w:rPr>
      <w:sz w:val="20"/>
      <w:lang w:val="nl-NL"/>
    </w:rPr>
  </w:style>
  <w:style w:type="character" w:styleId="Paginanummer">
    <w:name w:val="page number"/>
    <w:basedOn w:val="Standaardalinea-lettertype"/>
    <w:uiPriority w:val="21"/>
    <w:unhideWhenUsed/>
    <w:rsid w:val="002763B3"/>
    <w:rPr>
      <w:sz w:val="16"/>
    </w:rPr>
  </w:style>
  <w:style w:type="character" w:customStyle="1" w:styleId="Kop1Char">
    <w:name w:val="Kop 1 Char"/>
    <w:basedOn w:val="Standaardalinea-lettertype"/>
    <w:link w:val="Kop1"/>
    <w:uiPriority w:val="2"/>
    <w:rsid w:val="00310066"/>
    <w:rPr>
      <w:rFonts w:asciiTheme="majorHAnsi" w:eastAsiaTheme="majorEastAsia" w:hAnsiTheme="majorHAnsi" w:cstheme="majorBidi"/>
      <w:b/>
      <w:color w:val="00A9D6" w:themeColor="text2"/>
      <w:sz w:val="32"/>
      <w:szCs w:val="32"/>
      <w:lang w:val="en-GB"/>
    </w:rPr>
  </w:style>
  <w:style w:type="character" w:styleId="Zwaar">
    <w:name w:val="Strong"/>
    <w:basedOn w:val="Standaardalinea-lettertype"/>
    <w:uiPriority w:val="8"/>
    <w:qFormat/>
    <w:rsid w:val="00B92B47"/>
    <w:rPr>
      <w:b/>
      <w:bCs/>
    </w:rPr>
  </w:style>
  <w:style w:type="character" w:customStyle="1" w:styleId="Kop2Char">
    <w:name w:val="Kop 2 Char"/>
    <w:basedOn w:val="Standaardalinea-lettertype"/>
    <w:link w:val="Kop2"/>
    <w:uiPriority w:val="2"/>
    <w:rsid w:val="00C274CE"/>
    <w:rPr>
      <w:rFonts w:asciiTheme="majorHAnsi" w:eastAsiaTheme="majorEastAsia" w:hAnsiTheme="majorHAnsi" w:cstheme="majorBidi"/>
      <w:color w:val="283583" w:themeColor="accent2"/>
      <w:szCs w:val="26"/>
      <w:lang w:val="en-GB"/>
    </w:rPr>
  </w:style>
  <w:style w:type="character" w:customStyle="1" w:styleId="Kop3Char">
    <w:name w:val="Kop 3 Char"/>
    <w:basedOn w:val="Standaardalinea-lettertype"/>
    <w:link w:val="Kop3"/>
    <w:uiPriority w:val="2"/>
    <w:rsid w:val="00C274CE"/>
    <w:rPr>
      <w:rFonts w:asciiTheme="majorHAnsi" w:eastAsiaTheme="majorEastAsia" w:hAnsiTheme="majorHAnsi" w:cstheme="majorBidi"/>
      <w:b/>
      <w:color w:val="000000" w:themeColor="text1"/>
      <w:sz w:val="20"/>
      <w:lang w:val="en-GB"/>
    </w:rPr>
  </w:style>
  <w:style w:type="paragraph" w:styleId="Afzender">
    <w:name w:val="envelope return"/>
    <w:basedOn w:val="Standaard"/>
    <w:uiPriority w:val="16"/>
    <w:unhideWhenUsed/>
    <w:rsid w:val="0036278D"/>
    <w:pPr>
      <w:spacing w:line="190" w:lineRule="exact"/>
    </w:pPr>
    <w:rPr>
      <w:rFonts w:asciiTheme="majorHAnsi" w:eastAsiaTheme="majorEastAsia" w:hAnsiTheme="majorHAnsi" w:cstheme="majorBidi"/>
      <w:noProof/>
      <w:sz w:val="16"/>
      <w:szCs w:val="20"/>
    </w:rPr>
  </w:style>
  <w:style w:type="character" w:customStyle="1" w:styleId="Green">
    <w:name w:val="Green"/>
    <w:basedOn w:val="Standaardalinea-lettertype"/>
    <w:uiPriority w:val="8"/>
    <w:qFormat/>
    <w:rsid w:val="00911E83"/>
    <w:rPr>
      <w:color w:val="95C11F" w:themeColor="accent3"/>
    </w:rPr>
  </w:style>
  <w:style w:type="character" w:customStyle="1" w:styleId="Lightblue">
    <w:name w:val="Lightblue"/>
    <w:basedOn w:val="Standaardalinea-lettertype"/>
    <w:uiPriority w:val="8"/>
    <w:qFormat/>
    <w:rsid w:val="00911E83"/>
    <w:rPr>
      <w:color w:val="00A9D6" w:themeColor="text2"/>
    </w:rPr>
  </w:style>
  <w:style w:type="paragraph" w:customStyle="1" w:styleId="References">
    <w:name w:val="References"/>
    <w:basedOn w:val="Plattetekst"/>
    <w:uiPriority w:val="14"/>
    <w:qFormat/>
    <w:rsid w:val="007D5CC6"/>
    <w:pPr>
      <w:spacing w:line="280" w:lineRule="exact"/>
    </w:pPr>
  </w:style>
  <w:style w:type="paragraph" w:styleId="Titel">
    <w:name w:val="Title"/>
    <w:basedOn w:val="Standaard"/>
    <w:next w:val="Standaard"/>
    <w:link w:val="TitelChar"/>
    <w:uiPriority w:val="19"/>
    <w:qFormat/>
    <w:rsid w:val="00C274CE"/>
    <w:pPr>
      <w:spacing w:after="560" w:line="600" w:lineRule="atLeast"/>
      <w:contextualSpacing/>
    </w:pPr>
    <w:rPr>
      <w:rFonts w:asciiTheme="majorHAnsi" w:eastAsiaTheme="majorEastAsia" w:hAnsiTheme="majorHAnsi" w:cs="Times New Roman (Koppen CS)"/>
      <w:color w:val="00A9D6" w:themeColor="text2"/>
      <w:kern w:val="28"/>
      <w:sz w:val="48"/>
      <w:szCs w:val="56"/>
    </w:rPr>
  </w:style>
  <w:style w:type="character" w:customStyle="1" w:styleId="TitelChar">
    <w:name w:val="Titel Char"/>
    <w:basedOn w:val="Standaardalinea-lettertype"/>
    <w:link w:val="Titel"/>
    <w:uiPriority w:val="19"/>
    <w:rsid w:val="00C274CE"/>
    <w:rPr>
      <w:rFonts w:asciiTheme="majorHAnsi" w:eastAsiaTheme="majorEastAsia" w:hAnsiTheme="majorHAnsi" w:cs="Times New Roman (Koppen CS)"/>
      <w:color w:val="00A9D6" w:themeColor="text2"/>
      <w:kern w:val="28"/>
      <w:sz w:val="48"/>
      <w:szCs w:val="56"/>
      <w:lang w:val="en-GB"/>
    </w:rPr>
  </w:style>
  <w:style w:type="paragraph" w:styleId="Ondertitel">
    <w:name w:val="Subtitle"/>
    <w:basedOn w:val="Standaard"/>
    <w:next w:val="Standaard"/>
    <w:link w:val="OndertitelChar"/>
    <w:uiPriority w:val="20"/>
    <w:qFormat/>
    <w:rsid w:val="00262CF7"/>
    <w:pPr>
      <w:numPr>
        <w:ilvl w:val="1"/>
      </w:numPr>
      <w:spacing w:after="160"/>
    </w:pPr>
    <w:rPr>
      <w:rFonts w:eastAsiaTheme="minorEastAsia" w:cs="Times New Roman (Hoofdtekst CS)"/>
      <w:color w:val="5A5A5A" w:themeColor="text1" w:themeTint="A5"/>
      <w:sz w:val="22"/>
      <w:szCs w:val="22"/>
    </w:rPr>
  </w:style>
  <w:style w:type="character" w:customStyle="1" w:styleId="OndertitelChar">
    <w:name w:val="Ondertitel Char"/>
    <w:basedOn w:val="Standaardalinea-lettertype"/>
    <w:link w:val="Ondertitel"/>
    <w:uiPriority w:val="20"/>
    <w:rsid w:val="00262CF7"/>
    <w:rPr>
      <w:rFonts w:eastAsiaTheme="minorEastAsia" w:cs="Times New Roman (Hoofdtekst CS)"/>
      <w:color w:val="5A5A5A" w:themeColor="text1" w:themeTint="A5"/>
      <w:sz w:val="22"/>
      <w:szCs w:val="22"/>
      <w:lang w:val="nl-NL"/>
    </w:rPr>
  </w:style>
  <w:style w:type="paragraph" w:styleId="Kopvaninhoudsopgave">
    <w:name w:val="TOC Heading"/>
    <w:basedOn w:val="Plattetekst"/>
    <w:next w:val="Standaard"/>
    <w:uiPriority w:val="39"/>
    <w:semiHidden/>
    <w:unhideWhenUsed/>
    <w:qFormat/>
    <w:rsid w:val="0064411E"/>
    <w:pPr>
      <w:spacing w:after="280" w:line="400" w:lineRule="atLeast"/>
    </w:pPr>
    <w:rPr>
      <w:rFonts w:asciiTheme="majorHAnsi" w:hAnsiTheme="majorHAnsi"/>
      <w:b/>
      <w:color w:val="00A9D6" w:themeColor="text2"/>
      <w:sz w:val="32"/>
    </w:rPr>
  </w:style>
  <w:style w:type="table" w:customStyle="1" w:styleId="NWPreferences">
    <w:name w:val="NWP references"/>
    <w:basedOn w:val="Standaardtabel"/>
    <w:uiPriority w:val="99"/>
    <w:rsid w:val="00310066"/>
    <w:rPr>
      <w:sz w:val="20"/>
    </w:rPr>
    <w:tblPr>
      <w:tblBorders>
        <w:top w:val="single" w:sz="4" w:space="0" w:color="95C11F" w:themeColor="accent3"/>
        <w:bottom w:val="single" w:sz="4" w:space="0" w:color="95C11F" w:themeColor="accent3"/>
      </w:tblBorders>
      <w:tblCellMar>
        <w:top w:w="28" w:type="dxa"/>
        <w:left w:w="0" w:type="dxa"/>
        <w:bottom w:w="57" w:type="dxa"/>
      </w:tblCellMar>
    </w:tblPr>
  </w:style>
  <w:style w:type="character" w:styleId="Hyperlink">
    <w:name w:val="Hyperlink"/>
    <w:basedOn w:val="Standaardalinea-lettertype"/>
    <w:uiPriority w:val="99"/>
    <w:unhideWhenUsed/>
    <w:rsid w:val="001D44F6"/>
    <w:rPr>
      <w:color w:val="000000" w:themeColor="hyperlink"/>
      <w:u w:val="single"/>
    </w:rPr>
  </w:style>
  <w:style w:type="character" w:styleId="Onopgelostemelding">
    <w:name w:val="Unresolved Mention"/>
    <w:basedOn w:val="Standaardalinea-lettertype"/>
    <w:uiPriority w:val="99"/>
    <w:semiHidden/>
    <w:unhideWhenUsed/>
    <w:rsid w:val="001D44F6"/>
    <w:rPr>
      <w:color w:val="605E5C"/>
      <w:shd w:val="clear" w:color="auto" w:fill="E1DFDD"/>
    </w:rPr>
  </w:style>
  <w:style w:type="character" w:styleId="Verwijzingopmerking">
    <w:name w:val="annotation reference"/>
    <w:basedOn w:val="Standaardalinea-lettertype"/>
    <w:uiPriority w:val="99"/>
    <w:semiHidden/>
    <w:unhideWhenUsed/>
    <w:rsid w:val="003C35C2"/>
    <w:rPr>
      <w:sz w:val="16"/>
      <w:szCs w:val="16"/>
    </w:rPr>
  </w:style>
  <w:style w:type="paragraph" w:styleId="Tekstopmerking">
    <w:name w:val="annotation text"/>
    <w:basedOn w:val="Standaard"/>
    <w:link w:val="TekstopmerkingChar"/>
    <w:uiPriority w:val="99"/>
    <w:unhideWhenUsed/>
    <w:rsid w:val="003C35C2"/>
    <w:pPr>
      <w:spacing w:line="240" w:lineRule="auto"/>
    </w:pPr>
    <w:rPr>
      <w:szCs w:val="20"/>
    </w:rPr>
  </w:style>
  <w:style w:type="character" w:customStyle="1" w:styleId="TekstopmerkingChar">
    <w:name w:val="Tekst opmerking Char"/>
    <w:basedOn w:val="Standaardalinea-lettertype"/>
    <w:link w:val="Tekstopmerking"/>
    <w:uiPriority w:val="99"/>
    <w:rsid w:val="003C35C2"/>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C35C2"/>
    <w:rPr>
      <w:b/>
      <w:bCs/>
    </w:rPr>
  </w:style>
  <w:style w:type="character" w:customStyle="1" w:styleId="OnderwerpvanopmerkingChar">
    <w:name w:val="Onderwerp van opmerking Char"/>
    <w:basedOn w:val="TekstopmerkingChar"/>
    <w:link w:val="Onderwerpvanopmerking"/>
    <w:uiPriority w:val="99"/>
    <w:semiHidden/>
    <w:rsid w:val="003C35C2"/>
    <w:rPr>
      <w:b/>
      <w:bCs/>
      <w:sz w:val="20"/>
      <w:szCs w:val="20"/>
      <w:lang w:val="nl-NL"/>
    </w:rPr>
  </w:style>
  <w:style w:type="paragraph" w:styleId="Revisie">
    <w:name w:val="Revision"/>
    <w:hidden/>
    <w:uiPriority w:val="99"/>
    <w:semiHidden/>
    <w:rsid w:val="008426BC"/>
    <w:rPr>
      <w:sz w:val="20"/>
      <w:lang w:val="nl-NL"/>
    </w:rPr>
  </w:style>
  <w:style w:type="paragraph" w:styleId="Eindnoottekst">
    <w:name w:val="endnote text"/>
    <w:basedOn w:val="Standaard"/>
    <w:link w:val="EindnoottekstChar"/>
    <w:uiPriority w:val="99"/>
    <w:unhideWhenUsed/>
    <w:rsid w:val="00E92214"/>
    <w:pPr>
      <w:spacing w:line="240" w:lineRule="auto"/>
    </w:pPr>
    <w:rPr>
      <w:szCs w:val="20"/>
    </w:rPr>
  </w:style>
  <w:style w:type="character" w:customStyle="1" w:styleId="EindnoottekstChar">
    <w:name w:val="Eindnoottekst Char"/>
    <w:basedOn w:val="Standaardalinea-lettertype"/>
    <w:link w:val="Eindnoottekst"/>
    <w:uiPriority w:val="99"/>
    <w:rsid w:val="00E92214"/>
    <w:rPr>
      <w:sz w:val="20"/>
      <w:szCs w:val="20"/>
      <w:lang w:val="nl-NL"/>
    </w:rPr>
  </w:style>
  <w:style w:type="character" w:styleId="Eindnootmarkering">
    <w:name w:val="endnote reference"/>
    <w:basedOn w:val="Standaardalinea-lettertype"/>
    <w:uiPriority w:val="99"/>
    <w:semiHidden/>
    <w:unhideWhenUsed/>
    <w:rsid w:val="00E92214"/>
    <w:rPr>
      <w:vertAlign w:val="superscript"/>
    </w:rPr>
  </w:style>
  <w:style w:type="paragraph" w:styleId="Voetnoottekst">
    <w:name w:val="footnote text"/>
    <w:basedOn w:val="Standaard"/>
    <w:link w:val="VoetnoottekstChar"/>
    <w:uiPriority w:val="99"/>
    <w:semiHidden/>
    <w:unhideWhenUsed/>
    <w:rsid w:val="00F65250"/>
    <w:pPr>
      <w:spacing w:line="240" w:lineRule="auto"/>
    </w:pPr>
    <w:rPr>
      <w:szCs w:val="20"/>
    </w:rPr>
  </w:style>
  <w:style w:type="character" w:customStyle="1" w:styleId="VoetnoottekstChar">
    <w:name w:val="Voetnoottekst Char"/>
    <w:basedOn w:val="Standaardalinea-lettertype"/>
    <w:link w:val="Voetnoottekst"/>
    <w:uiPriority w:val="99"/>
    <w:semiHidden/>
    <w:rsid w:val="00F65250"/>
    <w:rPr>
      <w:sz w:val="20"/>
      <w:szCs w:val="20"/>
      <w:lang w:val="nl-NL"/>
    </w:rPr>
  </w:style>
  <w:style w:type="character" w:styleId="Voetnootmarkering">
    <w:name w:val="footnote reference"/>
    <w:basedOn w:val="Standaardalinea-lettertype"/>
    <w:uiPriority w:val="99"/>
    <w:semiHidden/>
    <w:unhideWhenUsed/>
    <w:rsid w:val="00F65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68149">
      <w:bodyDiv w:val="1"/>
      <w:marLeft w:val="0"/>
      <w:marRight w:val="0"/>
      <w:marTop w:val="0"/>
      <w:marBottom w:val="0"/>
      <w:divBdr>
        <w:top w:val="none" w:sz="0" w:space="0" w:color="auto"/>
        <w:left w:val="none" w:sz="0" w:space="0" w:color="auto"/>
        <w:bottom w:val="none" w:sz="0" w:space="0" w:color="auto"/>
        <w:right w:val="none" w:sz="0" w:space="0" w:color="auto"/>
      </w:divBdr>
    </w:div>
    <w:div w:id="261304608">
      <w:bodyDiv w:val="1"/>
      <w:marLeft w:val="0"/>
      <w:marRight w:val="0"/>
      <w:marTop w:val="0"/>
      <w:marBottom w:val="0"/>
      <w:divBdr>
        <w:top w:val="none" w:sz="0" w:space="0" w:color="auto"/>
        <w:left w:val="none" w:sz="0" w:space="0" w:color="auto"/>
        <w:bottom w:val="none" w:sz="0" w:space="0" w:color="auto"/>
        <w:right w:val="none" w:sz="0" w:space="0" w:color="auto"/>
      </w:divBdr>
    </w:div>
    <w:div w:id="505944295">
      <w:bodyDiv w:val="1"/>
      <w:marLeft w:val="0"/>
      <w:marRight w:val="0"/>
      <w:marTop w:val="0"/>
      <w:marBottom w:val="0"/>
      <w:divBdr>
        <w:top w:val="none" w:sz="0" w:space="0" w:color="auto"/>
        <w:left w:val="none" w:sz="0" w:space="0" w:color="auto"/>
        <w:bottom w:val="none" w:sz="0" w:space="0" w:color="auto"/>
        <w:right w:val="none" w:sz="0" w:space="0" w:color="auto"/>
      </w:divBdr>
    </w:div>
    <w:div w:id="841358124">
      <w:bodyDiv w:val="1"/>
      <w:marLeft w:val="0"/>
      <w:marRight w:val="0"/>
      <w:marTop w:val="0"/>
      <w:marBottom w:val="0"/>
      <w:divBdr>
        <w:top w:val="none" w:sz="0" w:space="0" w:color="auto"/>
        <w:left w:val="none" w:sz="0" w:space="0" w:color="auto"/>
        <w:bottom w:val="none" w:sz="0" w:space="0" w:color="auto"/>
        <w:right w:val="none" w:sz="0" w:space="0" w:color="auto"/>
      </w:divBdr>
    </w:div>
    <w:div w:id="1225988980">
      <w:bodyDiv w:val="1"/>
      <w:marLeft w:val="0"/>
      <w:marRight w:val="0"/>
      <w:marTop w:val="0"/>
      <w:marBottom w:val="0"/>
      <w:divBdr>
        <w:top w:val="none" w:sz="0" w:space="0" w:color="auto"/>
        <w:left w:val="none" w:sz="0" w:space="0" w:color="auto"/>
        <w:bottom w:val="none" w:sz="0" w:space="0" w:color="auto"/>
        <w:right w:val="none" w:sz="0" w:space="0" w:color="auto"/>
      </w:divBdr>
    </w:div>
    <w:div w:id="1398700634">
      <w:bodyDiv w:val="1"/>
      <w:marLeft w:val="0"/>
      <w:marRight w:val="0"/>
      <w:marTop w:val="0"/>
      <w:marBottom w:val="0"/>
      <w:divBdr>
        <w:top w:val="none" w:sz="0" w:space="0" w:color="auto"/>
        <w:left w:val="none" w:sz="0" w:space="0" w:color="auto"/>
        <w:bottom w:val="none" w:sz="0" w:space="0" w:color="auto"/>
        <w:right w:val="none" w:sz="0" w:space="0" w:color="auto"/>
      </w:divBdr>
    </w:div>
    <w:div w:id="1592739098">
      <w:bodyDiv w:val="1"/>
      <w:marLeft w:val="0"/>
      <w:marRight w:val="0"/>
      <w:marTop w:val="0"/>
      <w:marBottom w:val="0"/>
      <w:divBdr>
        <w:top w:val="none" w:sz="0" w:space="0" w:color="auto"/>
        <w:left w:val="none" w:sz="0" w:space="0" w:color="auto"/>
        <w:bottom w:val="none" w:sz="0" w:space="0" w:color="auto"/>
        <w:right w:val="none" w:sz="0" w:space="0" w:color="auto"/>
      </w:divBdr>
    </w:div>
    <w:div w:id="1856386601">
      <w:bodyDiv w:val="1"/>
      <w:marLeft w:val="0"/>
      <w:marRight w:val="0"/>
      <w:marTop w:val="0"/>
      <w:marBottom w:val="0"/>
      <w:divBdr>
        <w:top w:val="none" w:sz="0" w:space="0" w:color="auto"/>
        <w:left w:val="none" w:sz="0" w:space="0" w:color="auto"/>
        <w:bottom w:val="none" w:sz="0" w:space="0" w:color="auto"/>
        <w:right w:val="none" w:sz="0" w:space="0" w:color="auto"/>
      </w:divBdr>
    </w:div>
    <w:div w:id="18650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onderwerpen/circulaire-economie/nederland-circulair-in-2050" TargetMode="External"/><Relationship Id="rId13" Type="http://schemas.openxmlformats.org/officeDocument/2006/relationships/hyperlink" Target="https://open.overheid.nl/documenten/ronl-31b2d76b-e0a6-455f-9de0-10606eca5eb3/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vironment.ec.europa.eu/strategy/bioeconomy-strategy_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dir/2024/3019/oj" TargetMode="External"/><Relationship Id="rId5" Type="http://schemas.openxmlformats.org/officeDocument/2006/relationships/webSettings" Target="webSettings.xml"/><Relationship Id="rId15" Type="http://schemas.openxmlformats.org/officeDocument/2006/relationships/hyperlink" Target="mailto:j.baanhofman@nwp.nl" TargetMode="External"/><Relationship Id="rId10" Type="http://schemas.openxmlformats.org/officeDocument/2006/relationships/hyperlink" Target="https://eur-lex.europa.eu/legal-content/EN/TXT/?uri=CELEX:32024R125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griculture.ec.europa.eu/overview-vision-agriculture-food/vision-agriculture-and-food_en" TargetMode="External"/><Relationship Id="rId14" Type="http://schemas.openxmlformats.org/officeDocument/2006/relationships/hyperlink" Target="https://www.nutrientplatform.org/rapportage-integrale-circulaire-economie-ice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phosphorusplatform.eu/" TargetMode="External"/><Relationship Id="rId1" Type="http://schemas.openxmlformats.org/officeDocument/2006/relationships/hyperlink" Target="http://www.nutrientplatform.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utrientplatform.org/rapportage-integrale-circulaire-economie-icer/" TargetMode="External"/><Relationship Id="rId3" Type="http://schemas.openxmlformats.org/officeDocument/2006/relationships/hyperlink" Target="https://www.phosphorusplatform.eu/images/download/Persona%20Fertecon%20SP%20EU%20phosphate%20conundrum%2015_4_2025.pdf" TargetMode="External"/><Relationship Id="rId7" Type="http://schemas.openxmlformats.org/officeDocument/2006/relationships/hyperlink" Target="https://www.waternetwerk.nl/knw-academie/807-hoe-sluiten-we-de-kringloop-het-lot-van-de-n" TargetMode="External"/><Relationship Id="rId2" Type="http://schemas.openxmlformats.org/officeDocument/2006/relationships/hyperlink" Target="https://agridata.ec.europa.eu/extensions/DashboardFertiliser/FertiliserTrade.html" TargetMode="External"/><Relationship Id="rId1" Type="http://schemas.openxmlformats.org/officeDocument/2006/relationships/hyperlink" Target="https://www.fertilizerseurope.com/beyond-gas-the-risks-of-fertilizer-dependence-for-eu/" TargetMode="External"/><Relationship Id="rId6" Type="http://schemas.openxmlformats.org/officeDocument/2006/relationships/hyperlink" Target="https://agrimatie.nl/kunstmest.aspx?ID=16927" TargetMode="External"/><Relationship Id="rId5" Type="http://schemas.openxmlformats.org/officeDocument/2006/relationships/hyperlink" Target="https://opendata.cbs.nl/statline/" TargetMode="External"/><Relationship Id="rId4" Type="http://schemas.openxmlformats.org/officeDocument/2006/relationships/hyperlink" Target="https://rivm.openrepository.com/entities/publication/46dbede8-706d-438d-bb11-d4ba336ad3a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_NWP%20INFO%20Formats\Huisstijl%20sjablonen%20NWP\NWP_Brief_NL_newaddress.dotx" TargetMode="External"/></Relationships>
</file>

<file path=word/theme/theme1.xml><?xml version="1.0" encoding="utf-8"?>
<a:theme xmlns:a="http://schemas.openxmlformats.org/drawingml/2006/main" name="Office Theme">
  <a:themeElements>
    <a:clrScheme name="NWP Kleuren">
      <a:dk1>
        <a:srgbClr val="000000"/>
      </a:dk1>
      <a:lt1>
        <a:srgbClr val="FFFFFF"/>
      </a:lt1>
      <a:dk2>
        <a:srgbClr val="00A9D6"/>
      </a:dk2>
      <a:lt2>
        <a:srgbClr val="E8E8E8"/>
      </a:lt2>
      <a:accent1>
        <a:srgbClr val="00A9D6"/>
      </a:accent1>
      <a:accent2>
        <a:srgbClr val="283583"/>
      </a:accent2>
      <a:accent3>
        <a:srgbClr val="95C11F"/>
      </a:accent3>
      <a:accent4>
        <a:srgbClr val="FF6F50"/>
      </a:accent4>
      <a:accent5>
        <a:srgbClr val="E5F6FB"/>
      </a:accent5>
      <a:accent6>
        <a:srgbClr val="E6E6EF"/>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6920B-4DAC-4B86-8673-E99AD9EB9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NWP_Brief_NL_newaddress.dotx</Template>
  <TotalTime>1</TotalTime>
  <Pages>5</Pages>
  <Words>1340</Words>
  <Characters>7372</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Netherlands Water Partnership letter</vt:lpstr>
      <vt:lpstr>Netherlands Water Partnership letter</vt:lpstr>
    </vt:vector>
  </TitlesOfParts>
  <Manager/>
  <Company>Netherlands Water Partnership</Company>
  <LinksUpToDate>false</LinksUpToDate>
  <CharactersWithSpaces>8695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Netherlands Water Partnership letter</dc:title>
  <dc:subject/>
  <dc:creator>Wilma Meinders</dc:creator>
  <cp:keywords/>
  <dc:description>Netherlands Water Partnership brief NL
Version 1 - may 2021
Design: Humming 
Template: Ton Persoon</dc:description>
  <cp:lastModifiedBy>Wilma Meinders</cp:lastModifiedBy>
  <cp:revision>2</cp:revision>
  <cp:lastPrinted>2025-06-16T08:12:00Z</cp:lastPrinted>
  <dcterms:created xsi:type="dcterms:W3CDTF">2025-06-16T12:51:00Z</dcterms:created>
  <dcterms:modified xsi:type="dcterms:W3CDTF">2025-06-16T12:51:00Z</dcterms:modified>
  <cp:category/>
</cp:coreProperties>
</file>